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charts/colors1.xml" ContentType="application/vnd.ms-office.chartcolorsty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style1.xml" ContentType="application/vnd.ms-office.chartstyle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</w:t>
      </w:r>
      <w:r>
        <w:rPr>
          <w:rFonts w:ascii="Times New Roman" w:cs="Times New Roman" w:hAnsi="Times New Roman"/>
          <w:b/>
          <w:sz w:val="24"/>
          <w:szCs w:val="24"/>
        </w:rPr>
        <w:t>NAME: AZUKA ONYINYE ANASTASIA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MATRIC NO: 18/ENG02/025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DEPARTMENT: COMPUTER ENGINEERING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COURSE TITLE: ENGINEERING IN THE SOCIETY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COURSE CODE:</w:t>
      </w:r>
      <w:r>
        <w:rPr>
          <w:rFonts w:ascii="Times New Roman" w:cs="Times New Roman" w:hAnsi="Times New Roman"/>
          <w:b/>
          <w:sz w:val="24"/>
          <w:szCs w:val="24"/>
        </w:rPr>
        <w:t xml:space="preserve"> ENG 284.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DATE: 15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b/>
          <w:sz w:val="24"/>
          <w:szCs w:val="24"/>
        </w:rPr>
        <w:t xml:space="preserve"> APRIL, 2020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br/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ALPHA </w:t>
      </w:r>
      <w:r>
        <w:rPr>
          <w:rFonts w:ascii="Times New Roman" w:cs="Times New Roman" w:hAnsi="Times New Roman"/>
          <w:sz w:val="24"/>
          <w:szCs w:val="24"/>
        </w:rPr>
        <w:t xml:space="preserve">BELGORE REHABILITATION PROJECT 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b/>
          <w:sz w:val="24"/>
          <w:szCs w:val="24"/>
        </w:rPr>
        <w:t xml:space="preserve">roject overview: </w:t>
      </w:r>
      <w:r>
        <w:rPr>
          <w:rFonts w:ascii="Times New Roman" w:cs="Times New Roman" w:hAnsi="Times New Roman"/>
          <w:sz w:val="24"/>
          <w:szCs w:val="24"/>
        </w:rPr>
        <w:t xml:space="preserve">This is a multipurpose hall designed to have about 2000 sitters with two bathrooms and two </w:t>
      </w:r>
      <w:r>
        <w:rPr>
          <w:rFonts w:ascii="Times New Roman" w:cs="Times New Roman" w:hAnsi="Times New Roman"/>
          <w:sz w:val="24"/>
          <w:szCs w:val="24"/>
        </w:rPr>
        <w:t>offices</w:t>
      </w:r>
      <w:r>
        <w:rPr>
          <w:rFonts w:ascii="Times New Roman" w:cs="Times New Roman" w:hAnsi="Times New Roman"/>
          <w:sz w:val="24"/>
          <w:szCs w:val="24"/>
        </w:rPr>
        <w:t xml:space="preserve">. Due to the continuous increase of the </w:t>
      </w:r>
      <w:r>
        <w:rPr>
          <w:rFonts w:ascii="Times New Roman" w:cs="Times New Roman" w:hAnsi="Times New Roman"/>
          <w:sz w:val="24"/>
          <w:szCs w:val="24"/>
        </w:rPr>
        <w:t>school’s</w:t>
      </w:r>
      <w:r>
        <w:rPr>
          <w:rFonts w:ascii="Times New Roman" w:cs="Times New Roman" w:hAnsi="Times New Roman"/>
          <w:sz w:val="24"/>
          <w:szCs w:val="24"/>
        </w:rPr>
        <w:t xml:space="preserve"> population, this hall is unable to contain the students plus their parents it has brought to many </w:t>
      </w:r>
      <w:r>
        <w:rPr>
          <w:rFonts w:ascii="Times New Roman" w:cs="Times New Roman" w:hAnsi="Times New Roman"/>
          <w:sz w:val="24"/>
          <w:szCs w:val="24"/>
        </w:rPr>
        <w:t>inconveniences</w:t>
      </w:r>
      <w:r>
        <w:rPr>
          <w:rFonts w:ascii="Times New Roman" w:cs="Times New Roman" w:hAnsi="Times New Roman"/>
          <w:sz w:val="24"/>
          <w:szCs w:val="24"/>
        </w:rPr>
        <w:t xml:space="preserve"> during the matriculation and convocation ceremonies.</w:t>
      </w:r>
    </w:p>
    <w:p>
      <w:pPr>
        <w:pStyle w:val="style179"/>
        <w:spacing w:lineRule="auto" w:line="360"/>
        <w:ind w:left="43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As </w:t>
      </w:r>
      <w:r>
        <w:rPr>
          <w:rFonts w:ascii="Times New Roman" w:cs="Times New Roman" w:hAnsi="Times New Roman"/>
          <w:sz w:val="24"/>
          <w:szCs w:val="24"/>
        </w:rPr>
        <w:t xml:space="preserve">a </w:t>
      </w:r>
      <w:r>
        <w:rPr>
          <w:rFonts w:ascii="Times New Roman" w:cs="Times New Roman" w:hAnsi="Times New Roman"/>
          <w:sz w:val="24"/>
          <w:szCs w:val="24"/>
        </w:rPr>
        <w:t>result, the</w:t>
      </w:r>
      <w:r>
        <w:rPr>
          <w:rFonts w:ascii="Times New Roman" w:cs="Times New Roman" w:hAnsi="Times New Roman"/>
          <w:sz w:val="24"/>
          <w:szCs w:val="24"/>
        </w:rPr>
        <w:t xml:space="preserve"> school board of administration </w:t>
      </w:r>
      <w:r>
        <w:rPr>
          <w:rFonts w:ascii="Times New Roman" w:cs="Times New Roman" w:hAnsi="Times New Roman"/>
          <w:sz w:val="24"/>
          <w:szCs w:val="24"/>
        </w:rPr>
        <w:t>decided</w:t>
      </w:r>
      <w:r>
        <w:rPr>
          <w:rFonts w:ascii="Times New Roman" w:cs="Times New Roman" w:hAnsi="Times New Roman"/>
          <w:sz w:val="24"/>
          <w:szCs w:val="24"/>
        </w:rPr>
        <w:t xml:space="preserve"> to increase the buildings height, size and width so as to ensure optimal comfortability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the students and </w:t>
      </w:r>
      <w:r>
        <w:rPr>
          <w:rFonts w:ascii="Times New Roman" w:cs="Times New Roman" w:hAnsi="Times New Roman"/>
          <w:sz w:val="24"/>
          <w:szCs w:val="24"/>
        </w:rPr>
        <w:t>their</w:t>
      </w:r>
      <w:r>
        <w:rPr>
          <w:rFonts w:ascii="Times New Roman" w:cs="Times New Roman" w:hAnsi="Times New Roman"/>
          <w:sz w:val="24"/>
          <w:szCs w:val="24"/>
        </w:rPr>
        <w:t xml:space="preserve"> parents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Project scope: </w:t>
      </w:r>
      <w:r>
        <w:rPr>
          <w:rFonts w:ascii="Times New Roman" w:cs="Times New Roman" w:hAnsi="Times New Roman"/>
          <w:sz w:val="24"/>
          <w:szCs w:val="24"/>
        </w:rPr>
        <w:t xml:space="preserve">This project includes the renovation of the Alpha Belgore multipurpose hall located opposite the college </w:t>
      </w:r>
      <w:r>
        <w:rPr>
          <w:rFonts w:ascii="Times New Roman" w:cs="Times New Roman" w:hAnsi="Times New Roman"/>
          <w:sz w:val="24"/>
          <w:szCs w:val="24"/>
        </w:rPr>
        <w:t xml:space="preserve">of engineering and beside the girls hostel. it was founded by the committee as a </w:t>
      </w:r>
      <w:r>
        <w:rPr>
          <w:rFonts w:ascii="Times New Roman" w:cs="Times New Roman" w:hAnsi="Times New Roman"/>
          <w:sz w:val="24"/>
          <w:szCs w:val="24"/>
        </w:rPr>
        <w:t>stand-alone</w:t>
      </w:r>
      <w:r>
        <w:rPr>
          <w:rFonts w:ascii="Times New Roman" w:cs="Times New Roman" w:hAnsi="Times New Roman"/>
          <w:sz w:val="24"/>
          <w:szCs w:val="24"/>
        </w:rPr>
        <w:t xml:space="preserve"> project</w:t>
      </w:r>
      <w:r>
        <w:rPr>
          <w:rFonts w:ascii="Times New Roman" w:cs="Times New Roman" w:hAnsi="Times New Roman"/>
          <w:sz w:val="24"/>
          <w:szCs w:val="24"/>
        </w:rPr>
        <w:t>. The project consists essentially of refreshing the indoor spaces including: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redevelopment of storage area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creation of a larger sanitary.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Replacement of the </w:t>
      </w:r>
      <w:r>
        <w:rPr>
          <w:rFonts w:ascii="Times New Roman" w:cs="Times New Roman" w:hAnsi="Times New Roman"/>
          <w:sz w:val="24"/>
          <w:szCs w:val="24"/>
        </w:rPr>
        <w:t>coatings</w:t>
      </w:r>
      <w:r>
        <w:rPr>
          <w:rFonts w:ascii="Times New Roman" w:cs="Times New Roman" w:hAnsi="Times New Roman"/>
          <w:sz w:val="24"/>
          <w:szCs w:val="24"/>
        </w:rPr>
        <w:t xml:space="preserve"> on the floors, walls and ce</w:t>
      </w:r>
      <w:r>
        <w:rPr>
          <w:rFonts w:ascii="Times New Roman" w:cs="Times New Roman" w:hAnsi="Times New Roman"/>
          <w:sz w:val="24"/>
          <w:szCs w:val="24"/>
        </w:rPr>
        <w:t>ilings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creation of a new bar space in the entrance area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addition of anot</w:t>
      </w:r>
      <w:r>
        <w:rPr>
          <w:rFonts w:ascii="Times New Roman" w:cs="Times New Roman" w:hAnsi="Times New Roman"/>
          <w:sz w:val="24"/>
          <w:szCs w:val="24"/>
        </w:rPr>
        <w:t>her floor making it a duplex.</w:t>
      </w:r>
    </w:p>
    <w:p>
      <w:pPr>
        <w:pStyle w:val="style179"/>
        <w:numPr>
          <w:ilvl w:val="0"/>
          <w:numId w:val="2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Lastly, particular care has also been taken in the treatment of acoustics.</w:t>
      </w:r>
    </w:p>
    <w:p>
      <w:pPr>
        <w:pStyle w:val="style0"/>
        <w:spacing w:lineRule="auto" w:line="360"/>
        <w:ind w:left="7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LOCATION: Afe Babalola University opposite engineering college</w:t>
      </w:r>
    </w:p>
    <w:p>
      <w:pPr>
        <w:pStyle w:val="style0"/>
        <w:spacing w:lineRule="auto" w:line="360"/>
        <w:ind w:left="7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YEAR:  2020</w:t>
      </w:r>
    </w:p>
    <w:p>
      <w:pPr>
        <w:pStyle w:val="style0"/>
        <w:spacing w:lineRule="auto" w:line="360"/>
        <w:ind w:left="795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CATEGORY: Modern- multipurpose                    </w:t>
      </w:r>
    </w:p>
    <w:p>
      <w:pPr>
        <w:pStyle w:val="style179"/>
        <w:spacing w:lineRule="auto" w:line="360"/>
        <w:ind w:left="1155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Project schedule: </w:t>
      </w:r>
      <w:r>
        <w:rPr>
          <w:rFonts w:ascii="Times New Roman" w:cs="Times New Roman" w:hAnsi="Times New Roman"/>
          <w:sz w:val="24"/>
          <w:szCs w:val="24"/>
        </w:rPr>
        <w:t>The duration for this project without any circumstances is 6months or longer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ind w:left="75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</w:r>
      <w:r>
        <w:rPr>
          <w:rFonts w:ascii="Times New Roman" w:cs="Times New Roman" w:hAnsi="Times New Roman"/>
          <w:noProof/>
          <w:sz w:val="24"/>
          <w:szCs w:val="24"/>
        </w:rPr>
        <w:drawing>
          <wp:inline distL="114300" distT="0" distB="0" distR="114300">
            <wp:extent cx="5486400" cy="3200400"/>
            <wp:effectExtent l="0" t="0" r="0" b="0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>
        <w:rPr>
          <w:rFonts w:ascii="Times New Roman" w:cs="Times New Roman" w:hAnsi="Times New Roman"/>
          <w:noProof/>
          <w:sz w:val="24"/>
          <w:szCs w:val="24"/>
        </w:rPr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HUMAN RESOURCES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The team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client (the lead consultant)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Contract</w:t>
      </w:r>
      <w:r>
        <w:rPr>
          <w:rFonts w:ascii="Times New Roman" w:cs="Times New Roman" w:hAnsi="Times New Roman"/>
          <w:sz w:val="24"/>
          <w:szCs w:val="24"/>
        </w:rPr>
        <w:t xml:space="preserve"> administrator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Consultant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Architect 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Consultant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Subcontractor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Builders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Electricians</w:t>
      </w:r>
    </w:p>
    <w:p>
      <w:pPr>
        <w:pStyle w:val="style179"/>
        <w:numPr>
          <w:ilvl w:val="0"/>
          <w:numId w:val="1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Plumbers.</w:t>
      </w:r>
    </w:p>
    <w:p>
      <w:pPr>
        <w:pStyle w:val="style179"/>
        <w:spacing w:lineRule="auto" w:line="360"/>
        <w:ind w:left="435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Every person listed </w:t>
      </w:r>
      <w:r>
        <w:rPr>
          <w:rFonts w:ascii="Times New Roman" w:cs="Times New Roman" w:hAnsi="Times New Roman"/>
          <w:sz w:val="24"/>
          <w:szCs w:val="24"/>
        </w:rPr>
        <w:t>above according</w:t>
      </w:r>
      <w:r>
        <w:rPr>
          <w:rFonts w:ascii="Times New Roman" w:cs="Times New Roman" w:hAnsi="Times New Roman"/>
          <w:sz w:val="24"/>
          <w:szCs w:val="24"/>
        </w:rPr>
        <w:t xml:space="preserve"> to their area of </w:t>
      </w:r>
      <w:r>
        <w:rPr>
          <w:rFonts w:ascii="Times New Roman" w:cs="Times New Roman" w:hAnsi="Times New Roman"/>
          <w:sz w:val="24"/>
          <w:szCs w:val="24"/>
        </w:rPr>
        <w:t>expertise must</w:t>
      </w:r>
      <w:r>
        <w:rPr>
          <w:rFonts w:ascii="Times New Roman" w:cs="Times New Roman" w:hAnsi="Times New Roman"/>
          <w:sz w:val="24"/>
          <w:szCs w:val="24"/>
        </w:rPr>
        <w:t xml:space="preserve"> have a minimum of 4 </w:t>
      </w:r>
      <w:r>
        <w:rPr>
          <w:rFonts w:ascii="Times New Roman" w:cs="Times New Roman" w:hAnsi="Times New Roman"/>
          <w:sz w:val="24"/>
          <w:szCs w:val="24"/>
        </w:rPr>
        <w:t>years’ experience</w:t>
      </w:r>
      <w:r>
        <w:rPr>
          <w:rFonts w:ascii="Times New Roman" w:cs="Times New Roman" w:hAnsi="Times New Roman"/>
          <w:sz w:val="24"/>
          <w:szCs w:val="24"/>
        </w:rPr>
        <w:t xml:space="preserve"> in </w:t>
      </w:r>
      <w:r>
        <w:rPr>
          <w:rFonts w:ascii="Times New Roman" w:cs="Times New Roman" w:hAnsi="Times New Roman"/>
          <w:sz w:val="24"/>
          <w:szCs w:val="24"/>
        </w:rPr>
        <w:t>refurbishing</w:t>
      </w:r>
      <w:r>
        <w:rPr>
          <w:rFonts w:ascii="Times New Roman" w:cs="Times New Roman" w:hAnsi="Times New Roman"/>
          <w:sz w:val="24"/>
          <w:szCs w:val="24"/>
        </w:rPr>
        <w:t xml:space="preserve"> and a </w:t>
      </w:r>
      <w:r>
        <w:rPr>
          <w:rFonts w:ascii="Times New Roman" w:cs="Times New Roman" w:hAnsi="Times New Roman"/>
          <w:sz w:val="24"/>
          <w:szCs w:val="24"/>
        </w:rPr>
        <w:t>2-year</w:t>
      </w:r>
      <w:r>
        <w:rPr>
          <w:rFonts w:ascii="Times New Roman" w:cs="Times New Roman" w:hAnsi="Times New Roman"/>
          <w:sz w:val="24"/>
          <w:szCs w:val="24"/>
        </w:rPr>
        <w:t xml:space="preserve"> experience with plumbing and 3years of </w:t>
      </w:r>
      <w:r>
        <w:rPr>
          <w:rFonts w:ascii="Times New Roman" w:cs="Times New Roman" w:hAnsi="Times New Roman"/>
          <w:sz w:val="24"/>
          <w:szCs w:val="24"/>
        </w:rPr>
        <w:t>electrical works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REASONS WHY THE CITE IS SECURED.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This cite is secured so as to prevent people from using the construction site to access other buildings</w:t>
      </w:r>
      <w:r>
        <w:rPr>
          <w:rFonts w:ascii="Times New Roman" w:cs="Times New Roman" w:hAnsi="Times New Roman"/>
          <w:sz w:val="24"/>
          <w:szCs w:val="24"/>
        </w:rPr>
        <w:t xml:space="preserve"> and theft of the building material</w:t>
      </w:r>
      <w:r>
        <w:rPr>
          <w:rFonts w:ascii="Times New Roman" w:cs="Times New Roman" w:hAnsi="Times New Roman"/>
          <w:sz w:val="24"/>
          <w:szCs w:val="24"/>
        </w:rPr>
        <w:t>. Also, because of the constant state of change of the site, risks can also change quickly, and therefore it vital to regularly re-access the risk</w:t>
      </w:r>
      <w:r>
        <w:rPr>
          <w:rFonts w:ascii="Times New Roman" w:cs="Times New Roman" w:hAnsi="Times New Roman"/>
          <w:sz w:val="24"/>
          <w:szCs w:val="24"/>
        </w:rPr>
        <w:t xml:space="preserve"> and threats to the site. This is to prevent injuries to different students as it is a school construction site and it’s a place where student </w:t>
      </w:r>
      <w:r>
        <w:rPr>
          <w:rFonts w:ascii="Times New Roman" w:cs="Times New Roman" w:hAnsi="Times New Roman"/>
          <w:sz w:val="24"/>
          <w:szCs w:val="24"/>
        </w:rPr>
        <w:t>usually</w:t>
      </w:r>
      <w:r>
        <w:rPr>
          <w:rFonts w:ascii="Times New Roman" w:cs="Times New Roman" w:hAnsi="Times New Roman"/>
          <w:sz w:val="24"/>
          <w:szCs w:val="24"/>
        </w:rPr>
        <w:t xml:space="preserve"> use.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BEME</w:t>
      </w:r>
    </w:p>
    <w:tbl>
      <w:tblPr>
        <w:tblStyle w:val="style154"/>
        <w:tblW w:w="13466" w:type="dxa"/>
        <w:tblLook w:val="04A0" w:firstRow="1" w:lastRow="0" w:firstColumn="1" w:lastColumn="0" w:noHBand="0" w:noVBand="1"/>
      </w:tblPr>
      <w:tblGrid>
        <w:gridCol w:w="1705"/>
        <w:gridCol w:w="2783"/>
        <w:gridCol w:w="2244"/>
        <w:gridCol w:w="2244"/>
        <w:gridCol w:w="2245"/>
        <w:gridCol w:w="2245"/>
      </w:tblGrid>
      <w:tr>
        <w:trPr>
          <w:trHeight w:val="530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UNIT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RATE(s)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AMOUNT</w:t>
            </w:r>
          </w:p>
        </w:tc>
      </w:tr>
      <w:tr>
        <w:tblPrEx/>
        <w:trPr>
          <w:trHeight w:val="743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Cement 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Bags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7500</w:t>
            </w:r>
          </w:p>
        </w:tc>
      </w:tr>
      <w:tr>
        <w:tblPrEx/>
        <w:trPr>
          <w:trHeight w:val="695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Gravel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Tons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9000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9000</w:t>
            </w:r>
          </w:p>
        </w:tc>
      </w:tr>
      <w:tr>
        <w:tblPrEx/>
        <w:trPr>
          <w:trHeight w:val="743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Pipes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4000</w:t>
            </w:r>
          </w:p>
        </w:tc>
      </w:tr>
      <w:tr>
        <w:tblPrEx/>
        <w:trPr>
          <w:trHeight w:val="695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Cables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Yards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4000</w:t>
            </w:r>
          </w:p>
        </w:tc>
      </w:tr>
      <w:tr>
        <w:tblPrEx/>
        <w:trPr>
          <w:trHeight w:val="743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Sand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Tons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7500</w:t>
            </w:r>
          </w:p>
        </w:tc>
      </w:tr>
      <w:tr>
        <w:tblPrEx/>
        <w:trPr>
          <w:trHeight w:val="695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Wood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Planks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5000</w:t>
            </w:r>
          </w:p>
        </w:tc>
      </w:tr>
      <w:tr>
        <w:tblPrEx/>
        <w:trPr>
          <w:trHeight w:val="743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Consultancy fee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1000000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1000000</w:t>
            </w:r>
          </w:p>
        </w:tc>
      </w:tr>
      <w:tr>
        <w:tblPrEx/>
        <w:trPr>
          <w:trHeight w:val="695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Transportation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190000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190000</w:t>
            </w:r>
          </w:p>
        </w:tc>
      </w:tr>
      <w:tr>
        <w:tblPrEx/>
        <w:trPr>
          <w:trHeight w:val="743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Site preparation and clearing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750000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750000</w:t>
            </w:r>
          </w:p>
        </w:tc>
      </w:tr>
      <w:tr>
        <w:tblPrEx/>
        <w:trPr>
          <w:trHeight w:val="695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Profit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600000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600000</w:t>
            </w:r>
          </w:p>
        </w:tc>
      </w:tr>
      <w:tr>
        <w:tblPrEx/>
        <w:trPr>
          <w:trHeight w:val="695" w:hRule="atLeast"/>
        </w:trPr>
        <w:tc>
          <w:tcPr>
            <w:tcW w:w="170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2577000</w:t>
            </w:r>
          </w:p>
        </w:tc>
        <w:tc>
          <w:tcPr>
            <w:tcW w:w="224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2577000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7"/>
        <w:gridCol w:w="2017"/>
      </w:tblGrid>
      <w:tr>
        <w:trPr>
          <w:trHeight w:val="846" w:hRule="atLeast"/>
        </w:trPr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SCHEDULE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PERCENTAGE OF TEC(%)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PAYMENT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DATE</w:t>
            </w:r>
          </w:p>
        </w:tc>
      </w:tr>
      <w:tr>
        <w:tblPrEx/>
        <w:trPr>
          <w:trHeight w:val="905" w:hRule="atLeast"/>
        </w:trPr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Mobilization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28/12/2019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3/01/2020</w:t>
            </w:r>
          </w:p>
        </w:tc>
      </w:tr>
      <w:tr>
        <w:tblPrEx/>
        <w:trPr>
          <w:trHeight w:val="846" w:hRule="atLeast"/>
        </w:trPr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50% Completion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4/03/2020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25/05/2020</w:t>
            </w:r>
          </w:p>
        </w:tc>
      </w:tr>
      <w:tr>
        <w:tblPrEx/>
        <w:trPr>
          <w:trHeight w:val="905" w:hRule="atLeast"/>
        </w:trPr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Completion and handover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5/06/2020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10/06/2020</w:t>
            </w:r>
          </w:p>
        </w:tc>
      </w:tr>
      <w:tr>
        <w:tblPrEx/>
        <w:trPr>
          <w:trHeight w:val="846" w:hRule="atLeast"/>
        </w:trPr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Defect liability period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12/09/2021</w:t>
            </w:r>
          </w:p>
        </w:tc>
        <w:tc>
          <w:tcPr>
            <w:tcW w:w="201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201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25/10/2021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DEFINITIONS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B.E.M.E: </w:t>
      </w:r>
      <w:r>
        <w:rPr>
          <w:rFonts w:ascii="Times New Roman" w:cs="Times New Roman" w:hAnsi="Times New Roman"/>
          <w:sz w:val="24"/>
          <w:szCs w:val="24"/>
        </w:rPr>
        <w:t xml:space="preserve">The Bill of Engineering Measurement and </w:t>
      </w:r>
      <w:r>
        <w:rPr>
          <w:rFonts w:ascii="Times New Roman" w:cs="Times New Roman" w:hAnsi="Times New Roman"/>
          <w:sz w:val="24"/>
          <w:szCs w:val="24"/>
        </w:rPr>
        <w:t>Evaluation (</w:t>
      </w:r>
      <w:r>
        <w:rPr>
          <w:rFonts w:ascii="Times New Roman" w:cs="Times New Roman" w:hAnsi="Times New Roman"/>
          <w:sz w:val="24"/>
          <w:szCs w:val="24"/>
        </w:rPr>
        <w:t xml:space="preserve">B.E.M.E) also known as bill is used in providing </w:t>
      </w:r>
      <w:r>
        <w:rPr>
          <w:rFonts w:ascii="Times New Roman" w:cs="Times New Roman" w:hAnsi="Times New Roman"/>
          <w:sz w:val="24"/>
          <w:szCs w:val="24"/>
        </w:rPr>
        <w:t>sufficient</w:t>
      </w:r>
      <w:r>
        <w:rPr>
          <w:rFonts w:ascii="Times New Roman" w:cs="Times New Roman" w:hAnsi="Times New Roman"/>
          <w:sz w:val="24"/>
          <w:szCs w:val="24"/>
        </w:rPr>
        <w:t xml:space="preserve"> information during a construction planning, for tendering and contracting purposes of for the purpose of knowing the estimated cost of the proposed </w:t>
      </w:r>
      <w:r>
        <w:rPr>
          <w:rFonts w:ascii="Times New Roman" w:cs="Times New Roman" w:hAnsi="Times New Roman"/>
          <w:sz w:val="24"/>
          <w:szCs w:val="24"/>
        </w:rPr>
        <w:t>project (if</w:t>
      </w:r>
      <w:r>
        <w:rPr>
          <w:rFonts w:ascii="Times New Roman" w:cs="Times New Roman" w:hAnsi="Times New Roman"/>
          <w:sz w:val="24"/>
          <w:szCs w:val="24"/>
        </w:rPr>
        <w:t xml:space="preserve"> the estimated cost is greater than the available funds to execute the project then attempts are made to reduce the estimated cost by reviewing the scope and /or specification.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DEFECT LIABILITY PERIOD: </w:t>
      </w:r>
      <w:r>
        <w:rPr>
          <w:rFonts w:ascii="Times New Roman" w:cs="Times New Roman" w:hAnsi="Times New Roman"/>
          <w:sz w:val="24"/>
          <w:szCs w:val="24"/>
        </w:rPr>
        <w:t>A defect liability peri</w:t>
      </w:r>
      <w:r>
        <w:rPr>
          <w:rFonts w:ascii="Times New Roman" w:cs="Times New Roman" w:hAnsi="Times New Roman"/>
          <w:sz w:val="24"/>
          <w:szCs w:val="24"/>
        </w:rPr>
        <w:t>od</w:t>
      </w:r>
      <w:r>
        <w:rPr>
          <w:rFonts w:ascii="Times New Roman" w:cs="Times New Roman" w:hAnsi="Times New Roman"/>
          <w:sz w:val="24"/>
          <w:szCs w:val="24"/>
        </w:rPr>
        <w:t xml:space="preserve"> also known as the rectification period</w:t>
      </w:r>
      <w:r>
        <w:rPr>
          <w:rFonts w:ascii="Times New Roman" w:cs="Times New Roman" w:hAnsi="Times New Roman"/>
          <w:sz w:val="24"/>
          <w:szCs w:val="24"/>
        </w:rPr>
        <w:t xml:space="preserve"> is a period of time following</w:t>
      </w:r>
      <w:r>
        <w:rPr>
          <w:rFonts w:ascii="Times New Roman" w:cs="Times New Roman" w:hAnsi="Times New Roman"/>
          <w:sz w:val="24"/>
          <w:szCs w:val="24"/>
        </w:rPr>
        <w:t xml:space="preserve"> the practical completion during which a contractor remains liable under the building contract for dealin</w:t>
      </w:r>
      <w:r>
        <w:rPr>
          <w:rFonts w:ascii="Times New Roman" w:cs="Times New Roman" w:hAnsi="Times New Roman"/>
          <w:sz w:val="24"/>
          <w:szCs w:val="24"/>
        </w:rPr>
        <w:t>g with any defects which become apparent. A defect liability period is u</w:t>
      </w:r>
      <w:r>
        <w:rPr>
          <w:rFonts w:ascii="Times New Roman" w:cs="Times New Roman" w:hAnsi="Times New Roman"/>
          <w:sz w:val="24"/>
          <w:szCs w:val="24"/>
        </w:rPr>
        <w:t>sually a period around 6 to 12mo</w:t>
      </w:r>
      <w:r>
        <w:rPr>
          <w:rFonts w:ascii="Times New Roman" w:cs="Times New Roman" w:hAnsi="Times New Roman"/>
          <w:sz w:val="24"/>
          <w:szCs w:val="24"/>
        </w:rPr>
        <w:t xml:space="preserve">nths but it can vary depending on the contract </w:t>
      </w:r>
      <w:r>
        <w:rPr>
          <w:rFonts w:ascii="Times New Roman" w:cs="Times New Roman" w:hAnsi="Times New Roman"/>
          <w:sz w:val="24"/>
          <w:szCs w:val="24"/>
        </w:rPr>
        <w:t>used.</w:t>
      </w:r>
      <w:r>
        <w:rPr>
          <w:rFonts w:ascii="Times New Roman" w:cs="Times New Roman" w:hAnsi="Times New Roman"/>
          <w:sz w:val="24"/>
          <w:szCs w:val="24"/>
        </w:rPr>
        <w:t xml:space="preserve"> During this period, the clients reports any defect that arise to the </w:t>
      </w:r>
      <w:r>
        <w:rPr>
          <w:rFonts w:ascii="Times New Roman" w:cs="Times New Roman" w:hAnsi="Times New Roman"/>
          <w:sz w:val="24"/>
          <w:szCs w:val="24"/>
        </w:rPr>
        <w:t>contract</w:t>
      </w:r>
      <w:r>
        <w:rPr>
          <w:rFonts w:ascii="Times New Roman" w:cs="Times New Roman" w:hAnsi="Times New Roman"/>
          <w:sz w:val="24"/>
          <w:szCs w:val="24"/>
        </w:rPr>
        <w:t xml:space="preserve"> administrator who </w:t>
      </w:r>
      <w:r>
        <w:rPr>
          <w:rFonts w:ascii="Times New Roman" w:cs="Times New Roman" w:hAnsi="Times New Roman"/>
          <w:sz w:val="24"/>
          <w:szCs w:val="24"/>
        </w:rPr>
        <w:t>decides</w:t>
      </w:r>
      <w:r>
        <w:rPr>
          <w:rFonts w:ascii="Times New Roman" w:cs="Times New Roman" w:hAnsi="Times New Roman"/>
          <w:sz w:val="24"/>
          <w:szCs w:val="24"/>
        </w:rPr>
        <w:t xml:space="preserve"> whether they</w:t>
      </w:r>
      <w:r>
        <w:rPr>
          <w:rFonts w:ascii="Times New Roman" w:cs="Times New Roman" w:hAnsi="Times New Roman"/>
          <w:sz w:val="24"/>
          <w:szCs w:val="24"/>
        </w:rPr>
        <w:t xml:space="preserve"> are defects or just maintenance issues.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THE LEAD CONSULTANT: </w:t>
      </w:r>
      <w:r>
        <w:rPr>
          <w:rFonts w:ascii="Times New Roman" w:cs="Times New Roman" w:hAnsi="Times New Roman"/>
          <w:sz w:val="24"/>
          <w:szCs w:val="24"/>
        </w:rPr>
        <w:t xml:space="preserve">The lead consultant is responsible for advising, providing leadership and coordination, monitoring and reviewing, managing change, reporting and </w:t>
      </w:r>
      <w:r>
        <w:rPr>
          <w:rFonts w:ascii="Times New Roman" w:cs="Times New Roman" w:hAnsi="Times New Roman"/>
          <w:sz w:val="24"/>
          <w:szCs w:val="24"/>
        </w:rPr>
        <w:t>liaison</w:t>
      </w:r>
      <w:r>
        <w:rPr>
          <w:rFonts w:ascii="Times New Roman" w:cs="Times New Roman" w:hAnsi="Times New Roman"/>
          <w:sz w:val="24"/>
          <w:szCs w:val="24"/>
        </w:rPr>
        <w:t>. His central role is the management of the relationship between individual design discipline as well as those between the design.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PROJECT LIFECYCLE: </w:t>
      </w:r>
      <w:r>
        <w:rPr>
          <w:rFonts w:ascii="Times New Roman" w:cs="Times New Roman" w:hAnsi="Times New Roman"/>
          <w:sz w:val="24"/>
          <w:szCs w:val="24"/>
        </w:rPr>
        <w:t xml:space="preserve">Every construction project has a lifecycle which can be compared to the biological lifecycle which can be compared to the biological </w:t>
      </w:r>
      <w:r>
        <w:rPr>
          <w:rFonts w:ascii="Times New Roman" w:cs="Times New Roman" w:hAnsi="Times New Roman"/>
          <w:sz w:val="24"/>
          <w:szCs w:val="24"/>
        </w:rPr>
        <w:t>lifecycle</w:t>
      </w:r>
      <w:r>
        <w:rPr>
          <w:rFonts w:ascii="Times New Roman" w:cs="Times New Roman" w:hAnsi="Times New Roman"/>
          <w:sz w:val="24"/>
          <w:szCs w:val="24"/>
        </w:rPr>
        <w:t xml:space="preserve"> where activities begin gradually and build rapidly as the project commences to the final deliver</w:t>
      </w:r>
      <w:r>
        <w:rPr>
          <w:rFonts w:ascii="Times New Roman" w:cs="Times New Roman" w:hAnsi="Times New Roman"/>
          <w:sz w:val="24"/>
          <w:szCs w:val="24"/>
        </w:rPr>
        <w:t>ables. When the project reaches its final days, activities taper off and slow down.</w:t>
      </w:r>
    </w:p>
    <w:p>
      <w:pPr>
        <w:pStyle w:val="style179"/>
        <w:numPr>
          <w:ilvl w:val="0"/>
          <w:numId w:val="3"/>
        </w:numPr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ENVIRONMENTAL IMPACT SOCIETY(EIA): </w:t>
      </w:r>
      <w:r>
        <w:rPr>
          <w:rFonts w:ascii="Times New Roman" w:cs="Times New Roman" w:hAnsi="Times New Roman"/>
          <w:sz w:val="24"/>
          <w:szCs w:val="24"/>
        </w:rPr>
        <w:t xml:space="preserve">This is a process that evaluates the likely environmental impacts of a proposed projector development, taking into account inter-related socio-economic, cultural and human-health </w:t>
      </w:r>
      <w:r>
        <w:rPr>
          <w:rFonts w:ascii="Times New Roman" w:cs="Times New Roman" w:hAnsi="Times New Roman"/>
          <w:sz w:val="24"/>
          <w:szCs w:val="24"/>
        </w:rPr>
        <w:t>impacts, both</w:t>
      </w:r>
      <w:r>
        <w:rPr>
          <w:rFonts w:ascii="Times New Roman" w:cs="Times New Roman" w:hAnsi="Times New Roman"/>
          <w:sz w:val="24"/>
          <w:szCs w:val="24"/>
        </w:rPr>
        <w:t xml:space="preserve"> beneficial and adverse. The purpose of the EIA process is to inform decision makers and the public of the environmental </w:t>
      </w:r>
      <w:r>
        <w:rPr>
          <w:rFonts w:ascii="Times New Roman" w:cs="Times New Roman" w:hAnsi="Times New Roman"/>
          <w:sz w:val="24"/>
          <w:szCs w:val="24"/>
        </w:rPr>
        <w:t>consequences</w:t>
      </w:r>
      <w:r>
        <w:rPr>
          <w:rFonts w:ascii="Times New Roman" w:cs="Times New Roman" w:hAnsi="Times New Roman"/>
          <w:sz w:val="24"/>
          <w:szCs w:val="24"/>
        </w:rPr>
        <w:t xml:space="preserve"> of implementing a proposed project.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8A2844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6ED36A"/>
    <w:lvl w:ilvl="0" w:tplc="F3FCB048">
      <w:start w:val="1"/>
      <w:numFmt w:val="bullet"/>
      <w:lvlText w:val="-"/>
      <w:lvlJc w:val="left"/>
      <w:pPr>
        <w:ind w:left="435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2CE5E20"/>
    <w:lvl w:ilvl="0" w:tplc="F3FCB048">
      <w:start w:val="1"/>
      <w:numFmt w:val="bullet"/>
      <w:lvlText w:val="-"/>
      <w:lvlJc w:val="left"/>
      <w:pPr>
        <w:ind w:left="435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chart" Target="charts/chart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Relationship Id="rId4" Type="http://schemas.openxmlformats.org/officeDocument/2006/relationships/package" Target="../embeddings/Microsoft_Excel____1.xlsx"/><Relationship Id="rId5" Type="http://schemas.microsoft.com/office/2011/relationships/chartStyle" Target="style1.xml"/><Relationship Id="rId6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</a:t>
            </a:r>
            <a:r>
              <a:rPr lang="en-US" baseline="0"/>
              <a:t> Project's Gantt chart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478966170895305"/>
          <c:y val="0.16259936257967755"/>
          <c:w val="0.729747375328084"/>
          <c:h val="0.699007311586051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Start date</c:v>
                </c:pt>
              </c:strCache>
            </c:strRef>
          </c:tx>
          <c:spPr>
            <a:noFill/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Preparation phase</c:v>
                </c:pt>
                <c:pt idx="1">
                  <c:v>Stage 1: Work applied</c:v>
                </c:pt>
                <c:pt idx="2">
                  <c:v>Stage 2: work effort</c:v>
                </c:pt>
                <c:pt idx="3">
                  <c:v>Stage 3: Work effort</c:v>
                </c:pt>
                <c:pt idx="4">
                  <c:v>testing phase</c:v>
                </c:pt>
                <c:pt idx="5">
                  <c:v>Delivery phase</c:v>
                </c:pt>
              </c:strCache>
            </c:strRef>
          </c:cat>
          <c:val>
            <c:numRef>
              <c:f>Sheet1!$B$2:$B$7</c:f>
              <c:numCache>
                <c:formatCode>m/d;@</c:formatCode>
                <c:ptCount val="6"/>
                <c:pt idx="0">
                  <c:v>43834.0</c:v>
                </c:pt>
                <c:pt idx="1">
                  <c:v>43853.0</c:v>
                </c:pt>
                <c:pt idx="2">
                  <c:v>43853.0</c:v>
                </c:pt>
                <c:pt idx="3">
                  <c:v>43886.0</c:v>
                </c:pt>
                <c:pt idx="4">
                  <c:v>43938.0</c:v>
                </c:pt>
                <c:pt idx="5">
                  <c:v>43963.0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Duration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110000"/>
                    <a:satMod val="105000"/>
                    <a:tint val="67000"/>
                  </a:schemeClr>
                </a:gs>
                <a:gs pos="50000">
                  <a:schemeClr val="accent4">
                    <a:lumMod val="105000"/>
                    <a:satMod val="103000"/>
                    <a:tint val="73000"/>
                  </a:schemeClr>
                </a:gs>
                <a:gs pos="100000">
                  <a:schemeClr val="accent4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accent4"/>
              </a:solidFill>
              <a:prstDash val="solid"/>
              <a:miter lim="800000"/>
            </a:ln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tile algn="tl" flip="none" sx="100000" sy="100000" tx="0" ty="0"/>
              </a:blipFill>
              <a:ln w="6350" cap="flat" cmpd="sng" algn="ctr">
                <a:solidFill>
                  <a:schemeClr val="accent4"/>
                </a:solidFill>
                <a:prstDash val="solid"/>
                <a:miter lim="800000"/>
              </a:ln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4"/>
            <c:invertIfNegative val="0"/>
            <c:bubble3D val="0"/>
            <c:spPr>
              <a:blipFill>
                <a:blip xmlns:r="http://schemas.openxmlformats.org/officeDocument/2006/relationships" r:embed="rId2"/>
                <a:tile algn="tl" flip="none" sx="100000" sy="100000" tx="0" ty="0"/>
              </a:blipFill>
              <a:ln w="6350" cap="flat" cmpd="sng" algn="ctr">
                <a:solidFill>
                  <a:schemeClr val="accent4"/>
                </a:solidFill>
                <a:prstDash val="solid"/>
                <a:miter lim="800000"/>
              </a:ln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c:spPr>
          </c:dPt>
          <c:dPt>
            <c:idx val="5"/>
            <c:invertIfNegative val="0"/>
            <c:bubble3D val="0"/>
            <c:spPr>
              <a:blipFill>
                <a:blip xmlns:r="http://schemas.openxmlformats.org/officeDocument/2006/relationships" r:embed="rId3"/>
                <a:tile algn="tl" flip="none" sx="100000" sy="100000" tx="0" ty="0"/>
              </a:blipFill>
              <a:ln w="6350" cap="flat" cmpd="sng" algn="ctr">
                <a:solidFill>
                  <a:schemeClr val="accent4"/>
                </a:solidFill>
                <a:prstDash val="solid"/>
                <a:miter lim="800000"/>
              </a:ln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Preparation phase</c:v>
                </c:pt>
                <c:pt idx="1">
                  <c:v>Stage 1: Work applied</c:v>
                </c:pt>
                <c:pt idx="2">
                  <c:v>Stage 2: work effort</c:v>
                </c:pt>
                <c:pt idx="3">
                  <c:v>Stage 3: Work effort</c:v>
                </c:pt>
                <c:pt idx="4">
                  <c:v>testing phase</c:v>
                </c:pt>
                <c:pt idx="5">
                  <c:v>Delivery phase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18.0</c:v>
                </c:pt>
                <c:pt idx="1">
                  <c:v>32.0</c:v>
                </c:pt>
                <c:pt idx="2">
                  <c:v>40.0</c:v>
                </c:pt>
                <c:pt idx="3">
                  <c:v>47.0</c:v>
                </c:pt>
                <c:pt idx="4">
                  <c:v>20.0</c:v>
                </c:pt>
                <c:pt idx="5">
                  <c:v>24.0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75"/>
        <c:overlap val="100"/>
        <c:axId val="81248143"/>
        <c:axId val="81252303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End date</c:v>
                      </c:pt>
                    </c:strCache>
                  </c:strRef>
                </c:tx>
                <c:spPr>
                  <a:solidFill>
                    <a:schemeClr val="accent2">
                      <a:alpha val="85000"/>
                    </a:schemeClr>
                  </a:solidFill>
                  <a:ln w="9525" cap="flat" cmpd="sng" algn="ctr">
                    <a:solidFill>
                      <a:schemeClr val="lt1">
                        <a:alpha val="50000"/>
                      </a:schemeClr>
                    </a:solidFill>
                    <a:round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xmlns:c15="http://schemas.microsoft.com/office/drawing/2012/chart"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Preparation phase</c:v>
                      </c:pt>
                      <c:pt idx="1">
                        <c:v>Stage 1: Work applied</c:v>
                      </c:pt>
                      <c:pt idx="2">
                        <c:v>Stage 2: work effort</c:v>
                      </c:pt>
                      <c:pt idx="3">
                        <c:v>Stage 3: Work effort</c:v>
                      </c:pt>
                      <c:pt idx="4">
                        <c:v>testing phase</c:v>
                      </c:pt>
                      <c:pt idx="5">
                        <c:v>Delivery phase</c:v>
                      </c:pt>
                    </c:strCache>
                  </c:strRef>
                </c:cat>
                <c:val>
                  <c:numRef>
                    <c:extLst>
                      <c:ext xmlns:c15="http://schemas.microsoft.com/office/drawing/2012/chart" uri="{02D57815-91ED-43cb-92C2-25804820EDAC}">
                        <c15:formulaRef>
                          <c15:sqref>Sheet1!$C$2:$C$7</c15:sqref>
                        </c15:formulaRef>
                      </c:ext>
                    </c:extLst>
                    <c:numCache>
                      <c:formatCode>m/d;@</c:formatCode>
                      <c:ptCount val="6"/>
                      <c:pt idx="0">
                        <c:v>43852.0</c:v>
                      </c:pt>
                      <c:pt idx="1">
                        <c:v>43885.0</c:v>
                      </c:pt>
                      <c:pt idx="2">
                        <c:v>43893.0</c:v>
                      </c:pt>
                      <c:pt idx="3">
                        <c:v>43933.0</c:v>
                      </c:pt>
                      <c:pt idx="4">
                        <c:v>43958.0</c:v>
                      </c:pt>
                      <c:pt idx="5">
                        <c:v>43987.0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81248143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252303"/>
        <c:crosses val="autoZero"/>
        <c:auto val="1"/>
        <c:lblAlgn val="ctr"/>
        <c:lblOffset val="100"/>
        <c:noMultiLvlLbl val="0"/>
      </c:catAx>
      <c:valAx>
        <c:axId val="81252303"/>
        <c:scaling>
          <c:orientation val="minMax"/>
        </c:scaling>
        <c:delete val="1"/>
        <c:axPos val="t"/>
        <c:majorGridlines>
          <c:spPr>
            <a:ln w="9525" cap="flat" cmpd="sng" algn="ctr">
              <a:gradFill>
                <a:gsLst>
                  <a:gs pos="0">
                    <a:schemeClr val="lt1">
                      <a:lumMod val="75000"/>
                      <a:alpha val="36000"/>
                    </a:schemeClr>
                  </a:gs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m/d;@" sourceLinked="1"/>
        <c:majorTickMark val="none"/>
        <c:minorTickMark val="none"/>
        <c:tickLblPos val="nextTo"/>
        <c:crossAx val="81248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0">
              <a:schemeClr val="lt1">
                <a:lumMod val="75000"/>
                <a:alpha val="36000"/>
              </a:schemeClr>
            </a:gs>
            <a:gs pos="100000">
              <a:schemeClr val="dk1">
                <a:lumMod val="95000"/>
                <a:lumOff val="5000"/>
                <a:alpha val="42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Words>772</Words>
  <Pages>7</Pages>
  <Characters>4266</Characters>
  <Application>WPS Office</Application>
  <DocSecurity>0</DocSecurity>
  <Paragraphs>194</Paragraphs>
  <ScaleCrop>false</ScaleCrop>
  <LinksUpToDate>false</LinksUpToDate>
  <CharactersWithSpaces>4949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2020-04-15T16:47:00Z</dcterms:created>
  <dc:creator>NGOZI S. AZUKA</dc:creator>
  <lastModifiedBy>TECNO B1</lastModifiedBy>
  <dcterms:modified xsi:type="dcterms:W3CDTF">2020-04-16T21:07:58Z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