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96E" w:rsidRDefault="00F5296E">
      <w:r>
        <w:t>3.)</w:t>
      </w:r>
    </w:p>
    <w:p w:rsidR="00F5296E" w:rsidRDefault="00F5296E" w:rsidP="00F5296E">
      <w:pPr>
        <w:pStyle w:val="ListParagraph"/>
        <w:numPr>
          <w:ilvl w:val="0"/>
          <w:numId w:val="1"/>
        </w:numPr>
      </w:pPr>
      <w:r>
        <w:t>Role analysis</w:t>
      </w:r>
    </w:p>
    <w:p w:rsidR="00F5296E" w:rsidRDefault="00F5296E" w:rsidP="00F5296E">
      <w:pPr>
        <w:pStyle w:val="ListParagraph"/>
        <w:numPr>
          <w:ilvl w:val="0"/>
          <w:numId w:val="1"/>
        </w:numPr>
      </w:pPr>
      <w:r>
        <w:t>Role specification</w:t>
      </w:r>
    </w:p>
    <w:p w:rsidR="00F5296E" w:rsidRDefault="00F5296E" w:rsidP="00F5296E">
      <w:pPr>
        <w:pStyle w:val="ListParagraph"/>
        <w:numPr>
          <w:ilvl w:val="0"/>
          <w:numId w:val="1"/>
        </w:numPr>
      </w:pPr>
      <w:r>
        <w:t>Workforce planning</w:t>
      </w:r>
    </w:p>
    <w:p w:rsidR="00F5296E" w:rsidRDefault="00F5296E" w:rsidP="00F5296E">
      <w:pPr>
        <w:pStyle w:val="ListParagraph"/>
        <w:numPr>
          <w:ilvl w:val="0"/>
          <w:numId w:val="1"/>
        </w:numPr>
      </w:pPr>
      <w:r>
        <w:t>Recruitment and selection of temporary and permanent staff as required</w:t>
      </w:r>
    </w:p>
    <w:p w:rsidR="00F5296E" w:rsidRDefault="00F5296E" w:rsidP="00F5296E">
      <w:pPr>
        <w:pStyle w:val="ListParagraph"/>
        <w:numPr>
          <w:ilvl w:val="0"/>
          <w:numId w:val="1"/>
        </w:numPr>
      </w:pPr>
      <w:r>
        <w:t>Training and development</w:t>
      </w:r>
    </w:p>
    <w:p w:rsidR="00F5296E" w:rsidRDefault="00F5296E" w:rsidP="00F5296E">
      <w:pPr>
        <w:pStyle w:val="ListParagraph"/>
        <w:numPr>
          <w:ilvl w:val="0"/>
          <w:numId w:val="1"/>
        </w:numPr>
      </w:pPr>
      <w:r>
        <w:t>Performance management</w:t>
      </w:r>
    </w:p>
    <w:p w:rsidR="00F5296E" w:rsidRDefault="00F5296E" w:rsidP="00F5296E">
      <w:pPr>
        <w:pStyle w:val="ListParagraph"/>
        <w:numPr>
          <w:ilvl w:val="0"/>
          <w:numId w:val="1"/>
        </w:numPr>
      </w:pPr>
      <w:r>
        <w:t>Compensation</w:t>
      </w:r>
    </w:p>
    <w:p w:rsidR="00F5296E" w:rsidRDefault="00F5296E" w:rsidP="00F5296E">
      <w:pPr>
        <w:pStyle w:val="ListParagraph"/>
        <w:numPr>
          <w:ilvl w:val="0"/>
          <w:numId w:val="1"/>
        </w:numPr>
      </w:pPr>
      <w:r>
        <w:t>Legal issues</w:t>
      </w:r>
    </w:p>
    <w:p w:rsidR="00F5296E" w:rsidRDefault="00F5296E" w:rsidP="00F5296E">
      <w:pPr>
        <w:pStyle w:val="ListParagraph"/>
        <w:numPr>
          <w:ilvl w:val="0"/>
          <w:numId w:val="1"/>
        </w:numPr>
      </w:pPr>
      <w:r>
        <w:t>Managing employee payroll</w:t>
      </w:r>
    </w:p>
    <w:p w:rsidR="00F5296E" w:rsidRDefault="00F5296E" w:rsidP="00F5296E">
      <w:pPr>
        <w:pStyle w:val="ListParagraph"/>
        <w:numPr>
          <w:ilvl w:val="0"/>
          <w:numId w:val="1"/>
        </w:numPr>
      </w:pPr>
      <w:r>
        <w:t>Making sure facilities are well maintained</w:t>
      </w:r>
      <w:bookmarkStart w:id="0" w:name="_GoBack"/>
      <w:bookmarkEnd w:id="0"/>
    </w:p>
    <w:p w:rsidR="00CE20DC" w:rsidRDefault="00CE20DC">
      <w:r>
        <w:t>4.)</w:t>
      </w:r>
    </w:p>
    <w:p w:rsidR="003913BA" w:rsidRDefault="003913BA">
      <w:r>
        <w:t>A construction site can become dangerous and hazardous at any given moment and sharp objects lying on the ground which can be dangerous to passers-by and the first safety measure to be taking on a construction site is to put fences.</w:t>
      </w:r>
    </w:p>
    <w:p w:rsidR="002C07AA" w:rsidRDefault="002C07AA">
      <w:r>
        <w:t xml:space="preserve">5.) </w:t>
      </w:r>
    </w:p>
    <w:p w:rsidR="00154506" w:rsidRDefault="009E1A99">
      <w:r>
        <w:t>The BEME</w:t>
      </w:r>
      <w:r w:rsidR="002C07AA">
        <w:t xml:space="preserve"> Project</w:t>
      </w:r>
    </w:p>
    <w:tbl>
      <w:tblPr>
        <w:tblStyle w:val="TableGrid"/>
        <w:tblW w:w="0" w:type="auto"/>
        <w:tblLook w:val="04A0" w:firstRow="1" w:lastRow="0" w:firstColumn="1" w:lastColumn="0" w:noHBand="0" w:noVBand="1"/>
      </w:tblPr>
      <w:tblGrid>
        <w:gridCol w:w="4508"/>
        <w:gridCol w:w="4508"/>
      </w:tblGrid>
      <w:tr w:rsidR="002C07AA" w:rsidTr="002C07AA">
        <w:tc>
          <w:tcPr>
            <w:tcW w:w="4508" w:type="dxa"/>
          </w:tcPr>
          <w:p w:rsidR="002C07AA" w:rsidRDefault="002C07AA">
            <w:r>
              <w:t>The Projection</w:t>
            </w:r>
          </w:p>
        </w:tc>
        <w:tc>
          <w:tcPr>
            <w:tcW w:w="4508" w:type="dxa"/>
          </w:tcPr>
          <w:p w:rsidR="002C07AA" w:rsidRDefault="002C07AA">
            <w:r>
              <w:t>Cost</w:t>
            </w:r>
          </w:p>
        </w:tc>
      </w:tr>
      <w:tr w:rsidR="002C07AA" w:rsidTr="002C07AA">
        <w:tc>
          <w:tcPr>
            <w:tcW w:w="4508" w:type="dxa"/>
          </w:tcPr>
          <w:p w:rsidR="002C07AA" w:rsidRDefault="002C07AA">
            <w:r>
              <w:t>At 10%</w:t>
            </w:r>
          </w:p>
        </w:tc>
        <w:tc>
          <w:tcPr>
            <w:tcW w:w="4508" w:type="dxa"/>
          </w:tcPr>
          <w:p w:rsidR="002C07AA" w:rsidRDefault="002C07AA">
            <w:r>
              <w:t>5 million naira</w:t>
            </w:r>
          </w:p>
        </w:tc>
      </w:tr>
      <w:tr w:rsidR="002C07AA" w:rsidTr="002C07AA">
        <w:tc>
          <w:tcPr>
            <w:tcW w:w="4508" w:type="dxa"/>
          </w:tcPr>
          <w:p w:rsidR="002C07AA" w:rsidRDefault="002C07AA" w:rsidP="002C07AA">
            <w:r>
              <w:t>At 1</w:t>
            </w:r>
            <w:r>
              <w:t>5</w:t>
            </w:r>
            <w:r>
              <w:t>%</w:t>
            </w:r>
          </w:p>
        </w:tc>
        <w:tc>
          <w:tcPr>
            <w:tcW w:w="4508" w:type="dxa"/>
          </w:tcPr>
          <w:p w:rsidR="002C07AA" w:rsidRDefault="002C07AA" w:rsidP="002C07AA">
            <w:r>
              <w:t>11</w:t>
            </w:r>
            <w:r>
              <w:t xml:space="preserve"> million naira</w:t>
            </w:r>
          </w:p>
        </w:tc>
      </w:tr>
      <w:tr w:rsidR="002C07AA" w:rsidTr="002C07AA">
        <w:tc>
          <w:tcPr>
            <w:tcW w:w="4508" w:type="dxa"/>
          </w:tcPr>
          <w:p w:rsidR="002C07AA" w:rsidRDefault="002C07AA" w:rsidP="002C07AA">
            <w:r>
              <w:t>At 5</w:t>
            </w:r>
            <w:r>
              <w:t>%</w:t>
            </w:r>
          </w:p>
        </w:tc>
        <w:tc>
          <w:tcPr>
            <w:tcW w:w="4508" w:type="dxa"/>
          </w:tcPr>
          <w:p w:rsidR="002C07AA" w:rsidRDefault="002C07AA" w:rsidP="002C07AA">
            <w:r>
              <w:t>1 million naira</w:t>
            </w:r>
          </w:p>
        </w:tc>
      </w:tr>
      <w:tr w:rsidR="002C07AA" w:rsidTr="002C07AA">
        <w:tc>
          <w:tcPr>
            <w:tcW w:w="4508" w:type="dxa"/>
          </w:tcPr>
          <w:p w:rsidR="002C07AA" w:rsidRDefault="002C07AA" w:rsidP="002C07AA">
            <w:r>
              <w:t>At 12</w:t>
            </w:r>
            <w:r>
              <w:t>%</w:t>
            </w:r>
          </w:p>
        </w:tc>
        <w:tc>
          <w:tcPr>
            <w:tcW w:w="4508" w:type="dxa"/>
          </w:tcPr>
          <w:p w:rsidR="002C07AA" w:rsidRDefault="002C07AA" w:rsidP="002C07AA">
            <w:r>
              <w:t>1</w:t>
            </w:r>
            <w:r>
              <w:t>0</w:t>
            </w:r>
            <w:r>
              <w:t xml:space="preserve"> million naira</w:t>
            </w:r>
          </w:p>
        </w:tc>
      </w:tr>
      <w:tr w:rsidR="002C07AA" w:rsidTr="002C07AA">
        <w:tc>
          <w:tcPr>
            <w:tcW w:w="4508" w:type="dxa"/>
          </w:tcPr>
          <w:p w:rsidR="002C07AA" w:rsidRDefault="002C07AA" w:rsidP="002C07AA">
            <w:r>
              <w:t>At 2</w:t>
            </w:r>
            <w:r>
              <w:t>0%</w:t>
            </w:r>
          </w:p>
        </w:tc>
        <w:tc>
          <w:tcPr>
            <w:tcW w:w="4508" w:type="dxa"/>
          </w:tcPr>
          <w:p w:rsidR="002C07AA" w:rsidRDefault="002C07AA" w:rsidP="002C07AA">
            <w:r>
              <w:t>20</w:t>
            </w:r>
            <w:r>
              <w:t xml:space="preserve"> million naira</w:t>
            </w:r>
          </w:p>
        </w:tc>
      </w:tr>
    </w:tbl>
    <w:p w:rsidR="004D561D" w:rsidRDefault="004D561D"/>
    <w:p w:rsidR="002C07AA" w:rsidRDefault="002C07AA">
      <w:r>
        <w:t>6</w:t>
      </w:r>
      <w:r>
        <w:t>.)</w:t>
      </w:r>
    </w:p>
    <w:tbl>
      <w:tblPr>
        <w:tblStyle w:val="TableGrid"/>
        <w:tblW w:w="0" w:type="auto"/>
        <w:tblLook w:val="04A0" w:firstRow="1" w:lastRow="0" w:firstColumn="1" w:lastColumn="0" w:noHBand="0" w:noVBand="1"/>
      </w:tblPr>
      <w:tblGrid>
        <w:gridCol w:w="4508"/>
        <w:gridCol w:w="4508"/>
      </w:tblGrid>
      <w:tr w:rsidR="002C07AA" w:rsidTr="002C07AA">
        <w:tc>
          <w:tcPr>
            <w:tcW w:w="4508" w:type="dxa"/>
          </w:tcPr>
          <w:p w:rsidR="002C07AA" w:rsidRDefault="002C07AA">
            <w:r>
              <w:t>MOBILISATION</w:t>
            </w:r>
          </w:p>
        </w:tc>
        <w:tc>
          <w:tcPr>
            <w:tcW w:w="4508" w:type="dxa"/>
          </w:tcPr>
          <w:p w:rsidR="002C07AA" w:rsidRDefault="002C07AA">
            <w:r>
              <w:t>20 MILLION NAIRA</w:t>
            </w:r>
          </w:p>
        </w:tc>
      </w:tr>
      <w:tr w:rsidR="002C07AA" w:rsidTr="002C07AA">
        <w:tc>
          <w:tcPr>
            <w:tcW w:w="4508" w:type="dxa"/>
          </w:tcPr>
          <w:p w:rsidR="002C07AA" w:rsidRDefault="002C07AA">
            <w:r>
              <w:t>COMPLETION</w:t>
            </w:r>
          </w:p>
        </w:tc>
        <w:tc>
          <w:tcPr>
            <w:tcW w:w="4508" w:type="dxa"/>
          </w:tcPr>
          <w:p w:rsidR="002C07AA" w:rsidRDefault="002C07AA">
            <w:r>
              <w:t>1</w:t>
            </w:r>
            <w:r>
              <w:t>0 MILLION NAIRA</w:t>
            </w:r>
          </w:p>
        </w:tc>
      </w:tr>
      <w:tr w:rsidR="002C07AA" w:rsidTr="002C07AA">
        <w:tc>
          <w:tcPr>
            <w:tcW w:w="4508" w:type="dxa"/>
          </w:tcPr>
          <w:p w:rsidR="002C07AA" w:rsidRDefault="002C07AA">
            <w:r>
              <w:t>COMPLETION AND HANDOVER</w:t>
            </w:r>
          </w:p>
        </w:tc>
        <w:tc>
          <w:tcPr>
            <w:tcW w:w="4508" w:type="dxa"/>
          </w:tcPr>
          <w:p w:rsidR="002C07AA" w:rsidRDefault="002C07AA">
            <w:r>
              <w:t>5</w:t>
            </w:r>
            <w:r>
              <w:t xml:space="preserve"> MILLION NAIRA</w:t>
            </w:r>
          </w:p>
        </w:tc>
      </w:tr>
      <w:tr w:rsidR="002C07AA" w:rsidTr="002C07AA">
        <w:tc>
          <w:tcPr>
            <w:tcW w:w="4508" w:type="dxa"/>
          </w:tcPr>
          <w:p w:rsidR="002C07AA" w:rsidRDefault="002C07AA">
            <w:r>
              <w:t>DEFECT LIABILITY PERIOD</w:t>
            </w:r>
          </w:p>
        </w:tc>
        <w:tc>
          <w:tcPr>
            <w:tcW w:w="4508" w:type="dxa"/>
          </w:tcPr>
          <w:p w:rsidR="002C07AA" w:rsidRDefault="002C07AA">
            <w:r>
              <w:t>12</w:t>
            </w:r>
            <w:r>
              <w:t xml:space="preserve"> MILLION NAIRA</w:t>
            </w:r>
          </w:p>
        </w:tc>
      </w:tr>
    </w:tbl>
    <w:p w:rsidR="002C07AA" w:rsidRDefault="002C07AA"/>
    <w:p w:rsidR="002C07AA" w:rsidRDefault="002C07AA">
      <w:r>
        <w:t>7.)</w:t>
      </w:r>
    </w:p>
    <w:p w:rsidR="004D561D" w:rsidRDefault="002C07AA">
      <w:r>
        <w:t xml:space="preserve">Bill of Engineering Measurement and </w:t>
      </w:r>
      <w:r w:rsidR="004D561D">
        <w:t>Evaluation (</w:t>
      </w:r>
      <w:r>
        <w:t>BEME) also referred to a “</w:t>
      </w:r>
      <w:r w:rsidR="004D561D">
        <w:t>B</w:t>
      </w:r>
      <w:r>
        <w:t>ill”</w:t>
      </w:r>
      <w:r w:rsidR="004D561D">
        <w:t>, is a tool used before, during and to assess and value the cost of construction work.</w:t>
      </w:r>
    </w:p>
    <w:p w:rsidR="004D561D" w:rsidRDefault="004D561D" w:rsidP="004D561D">
      <w:r>
        <w:t>A defects liability period is a period of time following practical</w:t>
      </w:r>
      <w:r>
        <w:t xml:space="preserve"> completion during which a contrac</w:t>
      </w:r>
      <w:r>
        <w:t>t</w:t>
      </w:r>
      <w:r w:rsidR="009E1A99">
        <w:t>or remains liable under the building contract for dealing with any defects which become apparent.</w:t>
      </w:r>
    </w:p>
    <w:p w:rsidR="009E1A99" w:rsidRDefault="009E1A99" w:rsidP="004D561D">
      <w:r>
        <w:t>The lead consultant is the consultant that directs the work of the consultant team and is the main point of contact for communication between the client and the consultant team, except for on significant design issues where the lead designer may become the main point of contact.</w:t>
      </w:r>
    </w:p>
    <w:p w:rsidR="009E1A99" w:rsidRDefault="009E1A99" w:rsidP="004D561D">
      <w:r>
        <w:t xml:space="preserve">Project life cycle refers to the series </w:t>
      </w:r>
      <w:r w:rsidR="00CE20DC">
        <w:t>of events that took place in the product making.</w:t>
      </w:r>
    </w:p>
    <w:p w:rsidR="00CE20DC" w:rsidRDefault="00CE20DC" w:rsidP="004D561D">
      <w:r>
        <w:lastRenderedPageBreak/>
        <w:t xml:space="preserve">Environment assessment is the assessment of the environmental consequences of a plan, policy, program, or actual projects prior to the decision to move forward with the proposed action. </w:t>
      </w:r>
    </w:p>
    <w:p w:rsidR="002C07AA" w:rsidRDefault="002C07AA"/>
    <w:sectPr w:rsidR="002C07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C0442"/>
    <w:multiLevelType w:val="hybridMultilevel"/>
    <w:tmpl w:val="056ED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5B4"/>
    <w:rsid w:val="00154506"/>
    <w:rsid w:val="002C07AA"/>
    <w:rsid w:val="003913BA"/>
    <w:rsid w:val="004D561D"/>
    <w:rsid w:val="009275B4"/>
    <w:rsid w:val="009E1A99"/>
    <w:rsid w:val="00CE20DC"/>
    <w:rsid w:val="00F52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E83A4"/>
  <w15:chartTrackingRefBased/>
  <w15:docId w15:val="{6C66140E-922B-4342-9B83-AD09DDB99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0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2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2</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NONSO MARS</dc:creator>
  <cp:keywords/>
  <dc:description/>
  <cp:lastModifiedBy>BRUNO NONSO MARS</cp:lastModifiedBy>
  <cp:revision>3</cp:revision>
  <dcterms:created xsi:type="dcterms:W3CDTF">2020-04-16T17:50:00Z</dcterms:created>
  <dcterms:modified xsi:type="dcterms:W3CDTF">2020-04-16T21:44:00Z</dcterms:modified>
</cp:coreProperties>
</file>