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9C" w:rsidRPr="00BC44D3" w:rsidRDefault="00BC44D3" w:rsidP="00CF486F">
      <w:pPr>
        <w:rPr>
          <w:b/>
          <w:sz w:val="40"/>
          <w:szCs w:val="40"/>
        </w:rPr>
      </w:pPr>
      <w:r w:rsidRPr="00BC44D3">
        <w:rPr>
          <w:b/>
          <w:sz w:val="40"/>
          <w:szCs w:val="40"/>
        </w:rPr>
        <w:t>NAME</w:t>
      </w:r>
      <w:r w:rsidR="00990D38" w:rsidRPr="00BC44D3">
        <w:rPr>
          <w:b/>
          <w:sz w:val="40"/>
          <w:szCs w:val="40"/>
        </w:rPr>
        <w:t xml:space="preserve">: </w:t>
      </w:r>
      <w:r w:rsidR="0080276A">
        <w:rPr>
          <w:b/>
          <w:sz w:val="40"/>
          <w:szCs w:val="40"/>
        </w:rPr>
        <w:t xml:space="preserve">UJIAGBE ANTHONY OSAGIE </w:t>
      </w:r>
    </w:p>
    <w:p w:rsidR="00990D38" w:rsidRPr="00BC44D3" w:rsidRDefault="00990D38" w:rsidP="00CF486F">
      <w:pPr>
        <w:rPr>
          <w:b/>
          <w:sz w:val="40"/>
          <w:szCs w:val="40"/>
        </w:rPr>
      </w:pPr>
      <w:r w:rsidRPr="00BC44D3">
        <w:rPr>
          <w:b/>
          <w:sz w:val="40"/>
          <w:szCs w:val="40"/>
        </w:rPr>
        <w:t>MATRIC NUMBER: 17/ENG03/</w:t>
      </w:r>
      <w:r w:rsidR="00825DB1">
        <w:rPr>
          <w:b/>
          <w:sz w:val="40"/>
          <w:szCs w:val="40"/>
        </w:rPr>
        <w:t>053</w:t>
      </w:r>
    </w:p>
    <w:p w:rsidR="00990D38" w:rsidRPr="00BC44D3" w:rsidRDefault="00990D38" w:rsidP="00CF486F">
      <w:pPr>
        <w:rPr>
          <w:b/>
          <w:sz w:val="40"/>
          <w:szCs w:val="40"/>
        </w:rPr>
      </w:pPr>
      <w:r w:rsidRPr="00BC44D3">
        <w:rPr>
          <w:b/>
          <w:sz w:val="40"/>
          <w:szCs w:val="40"/>
        </w:rPr>
        <w:t>COURSE TITLE: ENGINEERING SURVEYING II</w:t>
      </w:r>
      <w:bookmarkStart w:id="0" w:name="_GoBack"/>
      <w:bookmarkEnd w:id="0"/>
    </w:p>
    <w:p w:rsidR="00990D38" w:rsidRPr="00BC44D3" w:rsidRDefault="00990D38" w:rsidP="00CF486F">
      <w:pPr>
        <w:rPr>
          <w:b/>
          <w:sz w:val="40"/>
          <w:szCs w:val="40"/>
        </w:rPr>
      </w:pPr>
      <w:r w:rsidRPr="00BC44D3">
        <w:rPr>
          <w:b/>
          <w:sz w:val="40"/>
          <w:szCs w:val="40"/>
        </w:rPr>
        <w:t>COURSE CODE: CVE 301</w:t>
      </w:r>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Highly Accurate And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 xml:space="preserve">of work. It’s no surprise the surveying and mapping community registered </w:t>
      </w:r>
      <w:r w:rsidRPr="00990D38">
        <w:rPr>
          <w:sz w:val="32"/>
          <w:szCs w:val="32"/>
        </w:rPr>
        <w:lastRenderedPageBreak/>
        <w:t>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Time, Cost And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lastRenderedPageBreak/>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 xml:space="preserve">improvements in productivity thanks to GPS applications and GNSS in general in surveying, asset mapping, machine guidance, mining, agriculture </w:t>
      </w:r>
      <w:r w:rsidRPr="00840A2C">
        <w:rPr>
          <w:sz w:val="32"/>
          <w:szCs w:val="32"/>
        </w:rPr>
        <w:lastRenderedPageBreak/>
        <w:t>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The positions of the satellites derived from the broadcast </w:t>
      </w:r>
      <w:r>
        <w:rPr>
          <w:rFonts w:eastAsia="Times New Roman" w:cs="Arial"/>
          <w:color w:val="212529"/>
          <w:sz w:val="32"/>
          <w:szCs w:val="32"/>
        </w:rPr>
        <w:lastRenderedPageBreak/>
        <w:t>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1" w:name="4.3.3"/>
      <w:r w:rsidRPr="00BC44D3">
        <w:rPr>
          <w:rFonts w:eastAsia="Times New Roman" w:cs="Arial"/>
          <w:b/>
          <w:bCs/>
          <w:sz w:val="32"/>
          <w:szCs w:val="32"/>
        </w:rPr>
        <w:t> Errors Due to Point Selection</w:t>
      </w:r>
      <w:bookmarkEnd w:id="1"/>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w:t>
      </w:r>
      <w:r>
        <w:rPr>
          <w:rFonts w:eastAsia="Times New Roman" w:cs="Arial"/>
          <w:color w:val="212529"/>
          <w:sz w:val="32"/>
          <w:szCs w:val="32"/>
        </w:rPr>
        <w:lastRenderedPageBreak/>
        <w:t>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2" w:name="figure4_5"/>
      <w:bookmarkEnd w:id="2"/>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w:t>
      </w:r>
      <w:r>
        <w:rPr>
          <w:rFonts w:eastAsia="Times New Roman" w:cs="Arial"/>
          <w:color w:val="212529"/>
          <w:sz w:val="32"/>
          <w:szCs w:val="32"/>
        </w:rPr>
        <w:lastRenderedPageBreak/>
        <w:t>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Data processing errors are those errors which can be identified only when the field work has been completed. During the processing of the </w:t>
      </w:r>
      <w:r>
        <w:rPr>
          <w:rFonts w:eastAsia="Times New Roman" w:cs="Arial"/>
          <w:color w:val="212529"/>
          <w:sz w:val="32"/>
          <w:szCs w:val="32"/>
        </w:rPr>
        <w:lastRenderedPageBreak/>
        <w:t>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w:t>
      </w:r>
      <w:r>
        <w:rPr>
          <w:rFonts w:eastAsia="Times New Roman" w:cs="Arial"/>
          <w:color w:val="212529"/>
          <w:sz w:val="32"/>
          <w:szCs w:val="32"/>
        </w:rPr>
        <w:lastRenderedPageBreak/>
        <w:t>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036336"/>
    <w:rsid w:val="00235C16"/>
    <w:rsid w:val="00351A6C"/>
    <w:rsid w:val="005C5ED8"/>
    <w:rsid w:val="0080276A"/>
    <w:rsid w:val="00825DB1"/>
    <w:rsid w:val="00840A2C"/>
    <w:rsid w:val="00990D38"/>
    <w:rsid w:val="00BC44D3"/>
    <w:rsid w:val="00CC735A"/>
    <w:rsid w:val="00C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B0F"/>
  <w15:docId w15:val="{B9BA7C7F-190D-CC49-875B-701C7F9A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gif"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E419-0FE1-BC4D-BC9D-8FA003CEFE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Ujiagbe Anthony</cp:lastModifiedBy>
  <cp:revision>6</cp:revision>
  <dcterms:created xsi:type="dcterms:W3CDTF">2020-04-17T20:56:00Z</dcterms:created>
  <dcterms:modified xsi:type="dcterms:W3CDTF">2020-04-17T21:00:00Z</dcterms:modified>
</cp:coreProperties>
</file>