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3F" w:rsidRPr="00AA299D" w:rsidRDefault="00851242">
      <w:pPr>
        <w:rPr>
          <w:rFonts w:ascii="Times New Roman" w:hAnsi="Times New Roman" w:cs="Times New Roman"/>
          <w:b/>
          <w:sz w:val="28"/>
          <w:szCs w:val="28"/>
        </w:rPr>
      </w:pPr>
      <w:r w:rsidRPr="00AA299D">
        <w:rPr>
          <w:rFonts w:ascii="Times New Roman" w:hAnsi="Times New Roman" w:cs="Times New Roman"/>
          <w:b/>
          <w:sz w:val="28"/>
          <w:szCs w:val="28"/>
        </w:rPr>
        <w:t xml:space="preserve">NAME; FEMI OLAIYA KING </w:t>
      </w:r>
    </w:p>
    <w:p w:rsidR="00851242" w:rsidRPr="00AA299D" w:rsidRDefault="00851242">
      <w:pPr>
        <w:rPr>
          <w:rFonts w:ascii="Times New Roman" w:hAnsi="Times New Roman" w:cs="Times New Roman"/>
          <w:b/>
          <w:sz w:val="28"/>
          <w:szCs w:val="28"/>
        </w:rPr>
      </w:pPr>
      <w:r w:rsidRPr="00AA299D">
        <w:rPr>
          <w:rFonts w:ascii="Times New Roman" w:hAnsi="Times New Roman" w:cs="Times New Roman"/>
          <w:b/>
          <w:sz w:val="28"/>
          <w:szCs w:val="28"/>
        </w:rPr>
        <w:t xml:space="preserve">COURS; LEGAL METHOD </w:t>
      </w:r>
    </w:p>
    <w:p w:rsidR="00851242" w:rsidRPr="00AA299D" w:rsidRDefault="00851242">
      <w:pPr>
        <w:rPr>
          <w:rFonts w:ascii="Times New Roman" w:hAnsi="Times New Roman" w:cs="Times New Roman"/>
          <w:b/>
          <w:sz w:val="28"/>
          <w:szCs w:val="28"/>
        </w:rPr>
      </w:pPr>
      <w:r w:rsidRPr="00AA299D">
        <w:rPr>
          <w:rFonts w:ascii="Times New Roman" w:hAnsi="Times New Roman" w:cs="Times New Roman"/>
          <w:b/>
          <w:sz w:val="28"/>
          <w:szCs w:val="28"/>
        </w:rPr>
        <w:t>LEVEL; 100L</w:t>
      </w:r>
    </w:p>
    <w:p w:rsidR="00851242" w:rsidRPr="00AA299D" w:rsidRDefault="00851242">
      <w:pPr>
        <w:rPr>
          <w:rFonts w:ascii="Times New Roman" w:hAnsi="Times New Roman" w:cs="Times New Roman"/>
          <w:b/>
          <w:sz w:val="28"/>
          <w:szCs w:val="28"/>
        </w:rPr>
      </w:pPr>
      <w:r w:rsidRPr="00AA299D">
        <w:rPr>
          <w:rFonts w:ascii="Times New Roman" w:hAnsi="Times New Roman" w:cs="Times New Roman"/>
          <w:b/>
          <w:sz w:val="28"/>
          <w:szCs w:val="28"/>
        </w:rPr>
        <w:t>Matric no; 19/law01/100</w:t>
      </w:r>
    </w:p>
    <w:p w:rsidR="00851242" w:rsidRPr="00AA299D" w:rsidRDefault="00851242">
      <w:pPr>
        <w:rPr>
          <w:rFonts w:ascii="Times New Roman" w:hAnsi="Times New Roman" w:cs="Times New Roman"/>
          <w:b/>
          <w:bCs/>
          <w:color w:val="222222"/>
          <w:sz w:val="28"/>
          <w:szCs w:val="28"/>
          <w:shd w:val="clear" w:color="auto" w:fill="FFFFFF"/>
        </w:rPr>
      </w:pPr>
      <w:r w:rsidRPr="00AA299D">
        <w:rPr>
          <w:rFonts w:ascii="Times New Roman" w:hAnsi="Times New Roman" w:cs="Times New Roman"/>
          <w:sz w:val="28"/>
          <w:szCs w:val="28"/>
        </w:rPr>
        <w:t xml:space="preserve">                               </w:t>
      </w:r>
      <w:r w:rsidRPr="00AA299D">
        <w:rPr>
          <w:rStyle w:val="Strong"/>
          <w:rFonts w:ascii="Times New Roman" w:hAnsi="Times New Roman" w:cs="Times New Roman"/>
          <w:color w:val="333333"/>
          <w:sz w:val="28"/>
          <w:szCs w:val="28"/>
          <w:shd w:val="clear" w:color="auto" w:fill="FFFFFF"/>
        </w:rPr>
        <w:t>Discuss secondary sources of law in Nigeria</w:t>
      </w:r>
      <w:r w:rsidRPr="00AA299D">
        <w:rPr>
          <w:rStyle w:val="Strong"/>
          <w:rFonts w:ascii="Times New Roman" w:hAnsi="Times New Roman" w:cs="Times New Roman"/>
          <w:color w:val="333333"/>
          <w:sz w:val="28"/>
          <w:szCs w:val="28"/>
          <w:shd w:val="clear" w:color="auto" w:fill="FFFFFF"/>
        </w:rPr>
        <w:t xml:space="preserve"> </w:t>
      </w:r>
      <w:r w:rsidRPr="00AA299D">
        <w:rPr>
          <w:rFonts w:ascii="Times New Roman" w:hAnsi="Times New Roman" w:cs="Times New Roman"/>
          <w:b/>
          <w:bCs/>
          <w:color w:val="222222"/>
          <w:sz w:val="28"/>
          <w:szCs w:val="28"/>
          <w:shd w:val="clear" w:color="auto" w:fill="FFFFFF"/>
        </w:rPr>
        <w:t>secondary</w:t>
      </w:r>
      <w:r w:rsidRPr="00AA299D">
        <w:rPr>
          <w:rFonts w:ascii="Times New Roman" w:hAnsi="Times New Roman" w:cs="Times New Roman"/>
          <w:bCs/>
          <w:color w:val="222222"/>
          <w:sz w:val="28"/>
          <w:szCs w:val="28"/>
          <w:shd w:val="clear" w:color="auto" w:fill="FFFFFF"/>
        </w:rPr>
        <w:t xml:space="preserve"> </w:t>
      </w:r>
    </w:p>
    <w:p w:rsidR="00E01F87" w:rsidRDefault="00851242" w:rsidP="00E01F87">
      <w:pPr>
        <w:pStyle w:val="NormalWeb"/>
        <w:shd w:val="clear" w:color="auto" w:fill="FFFFFF"/>
        <w:spacing w:before="0" w:beforeAutospacing="0" w:after="420" w:afterAutospacing="0"/>
        <w:rPr>
          <w:color w:val="333333"/>
          <w:shd w:val="clear" w:color="auto" w:fill="FFFFFF"/>
        </w:rPr>
      </w:pPr>
      <w:r w:rsidRPr="00E01F87">
        <w:rPr>
          <w:bCs/>
          <w:color w:val="222222"/>
          <w:shd w:val="clear" w:color="auto" w:fill="FFFFFF"/>
        </w:rPr>
        <w:t xml:space="preserve">      </w:t>
      </w:r>
      <w:r w:rsidR="008C51A8" w:rsidRPr="00E01F87">
        <w:rPr>
          <w:color w:val="333333"/>
          <w:shd w:val="clear" w:color="auto" w:fill="FFFFFF"/>
        </w:rPr>
        <w:t>The materials used for legal research are generally divided into two broad categories: </w:t>
      </w:r>
      <w:r w:rsidR="008C51A8" w:rsidRPr="00E01F87">
        <w:rPr>
          <w:bCs/>
          <w:color w:val="333333"/>
          <w:shd w:val="clear" w:color="auto" w:fill="FFFFFF"/>
        </w:rPr>
        <w:t>primary sources</w:t>
      </w:r>
      <w:r w:rsidR="008C51A8" w:rsidRPr="00E01F87">
        <w:rPr>
          <w:color w:val="333333"/>
          <w:shd w:val="clear" w:color="auto" w:fill="FFFFFF"/>
        </w:rPr>
        <w:t> and </w:t>
      </w:r>
      <w:r w:rsidR="008C51A8" w:rsidRPr="00E01F87">
        <w:rPr>
          <w:bCs/>
          <w:color w:val="333333"/>
          <w:shd w:val="clear" w:color="auto" w:fill="FFFFFF"/>
        </w:rPr>
        <w:t>secondary sources</w:t>
      </w:r>
      <w:r w:rsidR="008C51A8" w:rsidRPr="00E01F87">
        <w:rPr>
          <w:color w:val="333333"/>
          <w:shd w:val="clear" w:color="auto" w:fill="FFFFFF"/>
        </w:rPr>
        <w:t xml:space="preserve">.  Primary legal sources are the actual law in the form of constitutions, court cases, statutes, and administrative rules and regulations.  Secondary legal sources may restate the law, but they also discuss, analyze, describe, explain, or critique it as well.  Secondary sources are used to help locate primary sources of law, define legal words and phrases, or help in legal research.  In short, anything that is more than the actual law </w:t>
      </w:r>
      <w:r w:rsidR="00E01F87">
        <w:rPr>
          <w:color w:val="333333"/>
          <w:shd w:val="clear" w:color="auto" w:fill="FFFFFF"/>
        </w:rPr>
        <w:t>is considered a secondary source</w:t>
      </w:r>
      <w:r w:rsidR="008C51A8" w:rsidRPr="00E01F87">
        <w:rPr>
          <w:color w:val="333333"/>
          <w:shd w:val="clear" w:color="auto" w:fill="FFFFFF"/>
        </w:rPr>
        <w:t>.</w:t>
      </w:r>
    </w:p>
    <w:p w:rsidR="00E01F87" w:rsidRDefault="00E01F87" w:rsidP="00E01F87">
      <w:pPr>
        <w:pStyle w:val="NormalWeb"/>
        <w:shd w:val="clear" w:color="auto" w:fill="FFFFFF"/>
        <w:spacing w:before="0" w:beforeAutospacing="0" w:after="420" w:afterAutospacing="0"/>
        <w:rPr>
          <w:b/>
          <w:color w:val="111111"/>
        </w:rPr>
      </w:pPr>
      <w:r>
        <w:rPr>
          <w:color w:val="333333"/>
          <w:shd w:val="clear" w:color="auto" w:fill="FFFFFF"/>
        </w:rPr>
        <w:t xml:space="preserve">          </w:t>
      </w:r>
      <w:r w:rsidR="00851242" w:rsidRPr="00E01F87">
        <w:rPr>
          <w:bCs/>
          <w:color w:val="222222"/>
          <w:shd w:val="clear" w:color="auto" w:fill="FFFFFF"/>
        </w:rPr>
        <w:t>S</w:t>
      </w:r>
      <w:r w:rsidR="00851242" w:rsidRPr="00E01F87">
        <w:rPr>
          <w:bCs/>
          <w:color w:val="222222"/>
          <w:shd w:val="clear" w:color="auto" w:fill="FFFFFF"/>
        </w:rPr>
        <w:t>ources</w:t>
      </w:r>
      <w:r w:rsidR="00851242" w:rsidRPr="00E01F87">
        <w:rPr>
          <w:color w:val="222222"/>
          <w:shd w:val="clear" w:color="auto" w:fill="FFFFFF"/>
        </w:rPr>
        <w:t> of </w:t>
      </w:r>
      <w:r w:rsidR="00851242" w:rsidRPr="00E01F87">
        <w:rPr>
          <w:bCs/>
          <w:color w:val="222222"/>
          <w:shd w:val="clear" w:color="auto" w:fill="FFFFFF"/>
        </w:rPr>
        <w:t>Nigerian law</w:t>
      </w:r>
      <w:r w:rsidR="00851242" w:rsidRPr="00E01F87">
        <w:rPr>
          <w:color w:val="222222"/>
          <w:shd w:val="clear" w:color="auto" w:fill="FFFFFF"/>
        </w:rPr>
        <w:t> are of persuasive authority in the </w:t>
      </w:r>
      <w:r w:rsidR="00851242" w:rsidRPr="00E01F87">
        <w:rPr>
          <w:bCs/>
          <w:color w:val="222222"/>
          <w:shd w:val="clear" w:color="auto" w:fill="FFFFFF"/>
        </w:rPr>
        <w:t>law</w:t>
      </w:r>
      <w:r w:rsidR="00851242" w:rsidRPr="00E01F87">
        <w:rPr>
          <w:color w:val="222222"/>
          <w:shd w:val="clear" w:color="auto" w:fill="FFFFFF"/>
        </w:rPr>
        <w:t> courts. </w:t>
      </w:r>
      <w:r w:rsidR="00851242" w:rsidRPr="00E01F87">
        <w:rPr>
          <w:bCs/>
          <w:color w:val="222222"/>
          <w:shd w:val="clear" w:color="auto" w:fill="FFFFFF"/>
        </w:rPr>
        <w:t>Law</w:t>
      </w:r>
      <w:r w:rsidR="00851242" w:rsidRPr="00E01F87">
        <w:rPr>
          <w:color w:val="222222"/>
          <w:shd w:val="clear" w:color="auto" w:fill="FFFFFF"/>
        </w:rPr>
        <w:t> reports are only authoritative due to the fact that they serve as the vehicle through which judicial precedent</w:t>
      </w:r>
      <w:r w:rsidR="00851242" w:rsidRPr="00E01F87">
        <w:rPr>
          <w:color w:val="222222"/>
          <w:shd w:val="clear" w:color="auto" w:fill="FFFFFF"/>
        </w:rPr>
        <w:t>.</w:t>
      </w:r>
      <w:r w:rsidR="008C51A8" w:rsidRPr="00E01F87">
        <w:rPr>
          <w:color w:val="111111"/>
        </w:rPr>
        <w:t xml:space="preserve"> Primary sources of Nigerian law can simply be regarded as those sources whose provisions are binding on all courts throughout Nigeria</w:t>
      </w:r>
      <w:r w:rsidR="002D0FD5" w:rsidRPr="00E01F87">
        <w:rPr>
          <w:color w:val="111111"/>
        </w:rPr>
        <w:t xml:space="preserve"> </w:t>
      </w:r>
      <w:r w:rsidR="002D0FD5" w:rsidRPr="00E01F87">
        <w:rPr>
          <w:shd w:val="clear" w:color="auto" w:fill="FFFFFF"/>
        </w:rPr>
        <w:t xml:space="preserve">primary sources of law </w:t>
      </w:r>
      <w:r w:rsidR="008C51A8" w:rsidRPr="00E01F87">
        <w:rPr>
          <w:shd w:val="clear" w:color="auto" w:fill="FFFFFF"/>
        </w:rPr>
        <w:t>case law, statut</w:t>
      </w:r>
      <w:r w:rsidR="002D0FD5" w:rsidRPr="00E01F87">
        <w:rPr>
          <w:shd w:val="clear" w:color="auto" w:fill="FFFFFF"/>
        </w:rPr>
        <w:t xml:space="preserve">es, and regulations </w:t>
      </w:r>
      <w:r w:rsidR="008C51A8" w:rsidRPr="00E01F87">
        <w:rPr>
          <w:shd w:val="clear" w:color="auto" w:fill="FFFFFF"/>
        </w:rPr>
        <w:t>establish the law on a given topic, it is often difficult to quickly locate answers in them. Secondary sources often </w:t>
      </w:r>
      <w:r w:rsidR="008C51A8" w:rsidRPr="00E01F87">
        <w:rPr>
          <w:rStyle w:val="Strong"/>
          <w:b w:val="0"/>
          <w:shd w:val="clear" w:color="auto" w:fill="FFFFFF"/>
        </w:rPr>
        <w:t>explain legal principles</w:t>
      </w:r>
      <w:r w:rsidR="008C51A8" w:rsidRPr="00E01F87">
        <w:rPr>
          <w:shd w:val="clear" w:color="auto" w:fill="FFFFFF"/>
        </w:rPr>
        <w:t> more thoroughly than a single case or statute, so </w:t>
      </w:r>
      <w:r w:rsidR="008C51A8" w:rsidRPr="00E01F87">
        <w:rPr>
          <w:rStyle w:val="Strong"/>
          <w:b w:val="0"/>
          <w:shd w:val="clear" w:color="auto" w:fill="FFFFFF"/>
        </w:rPr>
        <w:t>using them can help you save time</w:t>
      </w:r>
      <w:r w:rsidR="008C51A8" w:rsidRPr="00E01F87">
        <w:rPr>
          <w:b/>
          <w:color w:val="111111"/>
        </w:rPr>
        <w:t>.</w:t>
      </w:r>
    </w:p>
    <w:p w:rsidR="008C51A8" w:rsidRPr="00E01F87" w:rsidRDefault="008C51A8" w:rsidP="00E01F87">
      <w:pPr>
        <w:pStyle w:val="NormalWeb"/>
        <w:shd w:val="clear" w:color="auto" w:fill="FFFFFF"/>
        <w:spacing w:before="0" w:beforeAutospacing="0" w:after="420" w:afterAutospacing="0"/>
        <w:rPr>
          <w:color w:val="333333"/>
          <w:shd w:val="clear" w:color="auto" w:fill="FFFFFF"/>
        </w:rPr>
      </w:pPr>
      <w:r w:rsidRPr="00E01F87">
        <w:rPr>
          <w:color w:val="111111"/>
        </w:rPr>
        <w:t xml:space="preserve"> They include:</w:t>
      </w:r>
    </w:p>
    <w:p w:rsidR="008C51A8" w:rsidRPr="008C51A8" w:rsidRDefault="008C51A8" w:rsidP="00E01F8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E01F87">
          <w:rPr>
            <w:rFonts w:ascii="Times New Roman" w:eastAsia="Times New Roman" w:hAnsi="Times New Roman" w:cs="Times New Roman"/>
            <w:sz w:val="24"/>
            <w:szCs w:val="24"/>
          </w:rPr>
          <w:t>Received English law</w:t>
        </w:r>
      </w:hyperlink>
    </w:p>
    <w:p w:rsidR="008C51A8" w:rsidRPr="008C51A8" w:rsidRDefault="008C51A8" w:rsidP="00E01F8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6" w:anchor="caselaw" w:tgtFrame="_blank" w:history="1">
        <w:r w:rsidRPr="00E01F87">
          <w:rPr>
            <w:rFonts w:ascii="Times New Roman" w:eastAsia="Times New Roman" w:hAnsi="Times New Roman" w:cs="Times New Roman"/>
            <w:sz w:val="24"/>
            <w:szCs w:val="24"/>
          </w:rPr>
          <w:t>Case law</w:t>
        </w:r>
      </w:hyperlink>
    </w:p>
    <w:p w:rsidR="008C51A8" w:rsidRPr="008C51A8" w:rsidRDefault="008C51A8" w:rsidP="00E01F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hyperlink r:id="rId7" w:tgtFrame="_blank" w:history="1">
        <w:r w:rsidRPr="00E01F87">
          <w:rPr>
            <w:rFonts w:ascii="Times New Roman" w:eastAsia="Times New Roman" w:hAnsi="Times New Roman" w:cs="Times New Roman"/>
            <w:sz w:val="24"/>
            <w:szCs w:val="24"/>
          </w:rPr>
          <w:t>Nigerian legislation</w:t>
        </w:r>
      </w:hyperlink>
    </w:p>
    <w:p w:rsidR="008C51A8" w:rsidRPr="008C51A8" w:rsidRDefault="008C51A8" w:rsidP="00E01F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Customary laws.</w:t>
      </w:r>
    </w:p>
    <w:p w:rsidR="008C51A8" w:rsidRPr="008C51A8" w:rsidRDefault="008C51A8" w:rsidP="00E01F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International laws.</w:t>
      </w:r>
    </w:p>
    <w:p w:rsidR="00E01F87" w:rsidRDefault="00E01F87" w:rsidP="00E01F87">
      <w:pPr>
        <w:shd w:val="clear" w:color="auto" w:fill="FFFFFF"/>
        <w:spacing w:after="420" w:line="240" w:lineRule="auto"/>
        <w:rPr>
          <w:rFonts w:ascii="Times New Roman" w:eastAsia="Times New Roman" w:hAnsi="Times New Roman" w:cs="Times New Roman"/>
          <w:color w:val="111111"/>
          <w:sz w:val="24"/>
          <w:szCs w:val="24"/>
        </w:rPr>
      </w:pPr>
      <w:r>
        <w:rPr>
          <w:rFonts w:ascii="Times New Roman" w:hAnsi="Times New Roman" w:cs="Times New Roman"/>
          <w:color w:val="333333"/>
          <w:sz w:val="24"/>
          <w:szCs w:val="24"/>
          <w:shd w:val="clear" w:color="auto" w:fill="FFFFFF"/>
        </w:rPr>
        <w:t xml:space="preserve">          </w:t>
      </w:r>
      <w:r w:rsidR="008C51A8" w:rsidRPr="00E01F87">
        <w:rPr>
          <w:rFonts w:ascii="Times New Roman" w:hAnsi="Times New Roman" w:cs="Times New Roman"/>
          <w:color w:val="333333"/>
          <w:sz w:val="24"/>
          <w:szCs w:val="24"/>
          <w:shd w:val="clear" w:color="auto" w:fill="FFFFFF"/>
        </w:rPr>
        <w:t>Secondary sources of law are background resources. They explain, interpret and analyze. They include encyclopedias, law reviews, treatises, restatements. Secondary sources are a good way to start research and often have citations to primary sources</w:t>
      </w:r>
      <w:r w:rsidR="008C51A8" w:rsidRPr="008C51A8">
        <w:rPr>
          <w:rFonts w:ascii="Times New Roman" w:eastAsia="Times New Roman" w:hAnsi="Times New Roman" w:cs="Times New Roman"/>
          <w:color w:val="111111"/>
          <w:sz w:val="24"/>
          <w:szCs w:val="24"/>
        </w:rPr>
        <w:t>.</w:t>
      </w:r>
    </w:p>
    <w:p w:rsidR="008C51A8" w:rsidRPr="008C51A8" w:rsidRDefault="008C51A8" w:rsidP="00E01F87">
      <w:pPr>
        <w:shd w:val="clear" w:color="auto" w:fill="FFFFFF"/>
        <w:spacing w:after="420"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 xml:space="preserve"> Examples of secondary sources of law are:</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Law Reports</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Text Books and Treatises</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Periodicals, Journals, and Legal Digests</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Casebooks</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Legal Dictionaries</w:t>
      </w:r>
    </w:p>
    <w:p w:rsidR="008C51A8" w:rsidRPr="008C51A8" w:rsidRDefault="008C51A8" w:rsidP="00E01F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4"/>
          <w:szCs w:val="24"/>
        </w:rPr>
      </w:pPr>
      <w:r w:rsidRPr="008C51A8">
        <w:rPr>
          <w:rFonts w:ascii="Times New Roman" w:eastAsia="Times New Roman" w:hAnsi="Times New Roman" w:cs="Times New Roman"/>
          <w:color w:val="111111"/>
          <w:sz w:val="24"/>
          <w:szCs w:val="24"/>
        </w:rPr>
        <w:t>Newspapers</w:t>
      </w:r>
    </w:p>
    <w:p w:rsidR="002D0FD5" w:rsidRPr="00E01F87" w:rsidRDefault="008C51A8" w:rsidP="00E01F87">
      <w:pPr>
        <w:pStyle w:val="NormalWeb"/>
        <w:shd w:val="clear" w:color="auto" w:fill="FFFFFF"/>
        <w:spacing w:before="0" w:beforeAutospacing="0" w:after="375" w:afterAutospacing="0"/>
        <w:rPr>
          <w:color w:val="111111"/>
        </w:rPr>
      </w:pPr>
      <w:r w:rsidRPr="008C51A8">
        <w:rPr>
          <w:color w:val="111111"/>
        </w:rPr>
        <w:lastRenderedPageBreak/>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w:t>
      </w:r>
      <w:r w:rsidR="00E01F87" w:rsidRPr="008C51A8">
        <w:rPr>
          <w:color w:val="111111"/>
        </w:rPr>
        <w:t>favor</w:t>
      </w:r>
      <w:r w:rsidRPr="008C51A8">
        <w:rPr>
          <w:color w:val="111111"/>
        </w:rPr>
        <w:t xml:space="preserve"> of the person who presents primary sources of law.</w:t>
      </w:r>
      <w:r w:rsidR="002D0FD5" w:rsidRPr="00E01F87">
        <w:rPr>
          <w:color w:val="111111"/>
        </w:rPr>
        <w:t xml:space="preserve"> </w:t>
      </w:r>
      <w:r w:rsidR="002D0FD5" w:rsidRPr="00E01F87">
        <w:rPr>
          <w:shd w:val="clear" w:color="auto" w:fill="FFFFFF"/>
        </w:rPr>
        <w:t xml:space="preserve"> Secondary sources also help you avoid unnecessary research, since you are tapping into work that someone else has already done on an </w:t>
      </w:r>
      <w:r w:rsidR="00E01F87" w:rsidRPr="00E01F87">
        <w:rPr>
          <w:shd w:val="clear" w:color="auto" w:fill="FFFFFF"/>
        </w:rPr>
        <w:t>issue</w:t>
      </w:r>
      <w:r w:rsidR="00E01F87" w:rsidRPr="00E01F87">
        <w:rPr>
          <w:color w:val="555555"/>
          <w:shd w:val="clear" w:color="auto" w:fill="FFFFFF"/>
        </w:rPr>
        <w:t>.</w:t>
      </w:r>
      <w:r w:rsidR="00E01F87" w:rsidRPr="008C51A8">
        <w:rPr>
          <w:color w:val="111111"/>
        </w:rPr>
        <w:t xml:space="preserve"> Secondary</w:t>
      </w:r>
      <w:r w:rsidRPr="008C51A8">
        <w:rPr>
          <w:color w:val="111111"/>
        </w:rPr>
        <w:t xml:space="preserve"> sources of law are only made use of whenever there are no primary sources of law to fall back on</w:t>
      </w:r>
    </w:p>
    <w:p w:rsidR="002D0FD5" w:rsidRPr="00E01F87" w:rsidRDefault="002D0FD5" w:rsidP="00E01F87">
      <w:pPr>
        <w:pStyle w:val="NormalWeb"/>
        <w:shd w:val="clear" w:color="auto" w:fill="FFFFFF"/>
        <w:spacing w:before="0" w:beforeAutospacing="0" w:after="375" w:afterAutospacing="0"/>
      </w:pPr>
      <w:r w:rsidRPr="00E01F87">
        <w:rPr>
          <w:color w:val="111111"/>
        </w:rPr>
        <w:t xml:space="preserve">            </w:t>
      </w:r>
      <w:r w:rsidR="008C51A8" w:rsidRPr="008C51A8">
        <w:rPr>
          <w:color w:val="111111"/>
        </w:rPr>
        <w:t>.</w:t>
      </w:r>
      <w:r w:rsidRPr="00E01F87">
        <w:rPr>
          <w:color w:val="111111"/>
        </w:rPr>
        <w:t xml:space="preserve"> </w:t>
      </w:r>
      <w:r w:rsidRPr="00E01F87">
        <w:t>S</w:t>
      </w:r>
      <w:r w:rsidRPr="00E01F87">
        <w:rPr>
          <w:u w:val="single"/>
        </w:rPr>
        <w:t>econdary sources are particularly useful for:</w:t>
      </w:r>
    </w:p>
    <w:p w:rsidR="002D0FD5" w:rsidRPr="002D0FD5" w:rsidRDefault="002D0FD5" w:rsidP="00E01F87">
      <w:pPr>
        <w:numPr>
          <w:ilvl w:val="0"/>
          <w:numId w:val="3"/>
        </w:numPr>
        <w:shd w:val="clear" w:color="auto" w:fill="FFFFFF"/>
        <w:spacing w:before="100" w:beforeAutospacing="1" w:after="150" w:line="240" w:lineRule="auto"/>
        <w:rPr>
          <w:rFonts w:ascii="Times New Roman" w:eastAsia="Times New Roman" w:hAnsi="Times New Roman" w:cs="Times New Roman"/>
          <w:sz w:val="24"/>
          <w:szCs w:val="24"/>
        </w:rPr>
      </w:pPr>
      <w:r w:rsidRPr="002D0FD5">
        <w:rPr>
          <w:rFonts w:ascii="Times New Roman" w:eastAsia="Times New Roman" w:hAnsi="Times New Roman" w:cs="Times New Roman"/>
          <w:sz w:val="24"/>
          <w:szCs w:val="24"/>
        </w:rPr>
        <w:t>Learning the basics of a particular area of law</w:t>
      </w:r>
    </w:p>
    <w:p w:rsidR="002D0FD5" w:rsidRPr="002D0FD5" w:rsidRDefault="002D0FD5" w:rsidP="00E01F87">
      <w:pPr>
        <w:numPr>
          <w:ilvl w:val="0"/>
          <w:numId w:val="3"/>
        </w:numPr>
        <w:shd w:val="clear" w:color="auto" w:fill="FFFFFF"/>
        <w:spacing w:before="100" w:beforeAutospacing="1" w:after="150" w:line="240" w:lineRule="auto"/>
        <w:rPr>
          <w:rFonts w:ascii="Times New Roman" w:eastAsia="Times New Roman" w:hAnsi="Times New Roman" w:cs="Times New Roman"/>
          <w:sz w:val="24"/>
          <w:szCs w:val="24"/>
        </w:rPr>
      </w:pPr>
      <w:r w:rsidRPr="002D0FD5">
        <w:rPr>
          <w:rFonts w:ascii="Times New Roman" w:eastAsia="Times New Roman" w:hAnsi="Times New Roman" w:cs="Times New Roman"/>
          <w:sz w:val="24"/>
          <w:szCs w:val="24"/>
        </w:rPr>
        <w:t>Understanding key terms of art in an area</w:t>
      </w:r>
    </w:p>
    <w:p w:rsidR="002D0FD5" w:rsidRPr="002D0FD5" w:rsidRDefault="002D0FD5" w:rsidP="00E01F87">
      <w:pPr>
        <w:numPr>
          <w:ilvl w:val="0"/>
          <w:numId w:val="3"/>
        </w:numPr>
        <w:shd w:val="clear" w:color="auto" w:fill="FFFFFF"/>
        <w:spacing w:before="100" w:beforeAutospacing="1" w:after="150" w:line="240" w:lineRule="auto"/>
        <w:rPr>
          <w:rFonts w:ascii="Times New Roman" w:eastAsia="Times New Roman" w:hAnsi="Times New Roman" w:cs="Times New Roman"/>
          <w:sz w:val="24"/>
          <w:szCs w:val="24"/>
        </w:rPr>
      </w:pPr>
      <w:r w:rsidRPr="002D0FD5">
        <w:rPr>
          <w:rFonts w:ascii="Times New Roman" w:eastAsia="Times New Roman" w:hAnsi="Times New Roman" w:cs="Times New Roman"/>
          <w:sz w:val="24"/>
          <w:szCs w:val="24"/>
        </w:rPr>
        <w:t>Identifying essential cases and statutes</w:t>
      </w:r>
    </w:p>
    <w:p w:rsidR="008C51A8" w:rsidRPr="008C51A8" w:rsidRDefault="008C51A8" w:rsidP="00E01F87">
      <w:pPr>
        <w:shd w:val="clear" w:color="auto" w:fill="FFFFFF"/>
        <w:spacing w:after="420" w:line="240" w:lineRule="auto"/>
        <w:rPr>
          <w:rFonts w:ascii="Times New Roman" w:eastAsia="Times New Roman" w:hAnsi="Times New Roman" w:cs="Times New Roman"/>
          <w:sz w:val="24"/>
          <w:szCs w:val="24"/>
        </w:rPr>
      </w:pPr>
    </w:p>
    <w:p w:rsidR="008C51A8" w:rsidRPr="008C51A8" w:rsidRDefault="008C51A8" w:rsidP="00E01F87">
      <w:pPr>
        <w:shd w:val="clear" w:color="auto" w:fill="FFFFFF"/>
        <w:spacing w:after="420" w:line="240" w:lineRule="auto"/>
        <w:rPr>
          <w:rFonts w:ascii="Times New Roman" w:eastAsia="Times New Roman" w:hAnsi="Times New Roman" w:cs="Times New Roman"/>
          <w:color w:val="111111"/>
        </w:rPr>
      </w:pPr>
      <w:r w:rsidRPr="008C51A8">
        <w:rPr>
          <w:rFonts w:ascii="Times New Roman" w:eastAsia="Times New Roman" w:hAnsi="Times New Roman" w:cs="Times New Roman"/>
          <w:color w:val="111111"/>
        </w:rPr>
        <w:t> </w:t>
      </w:r>
    </w:p>
    <w:p w:rsidR="00851242" w:rsidRPr="00851242" w:rsidRDefault="00851242" w:rsidP="00E01F87">
      <w:pPr>
        <w:rPr>
          <w:rFonts w:ascii="Arial" w:hAnsi="Arial" w:cs="Arial"/>
          <w:b/>
          <w:bCs/>
          <w:color w:val="222222"/>
          <w:shd w:val="clear" w:color="auto" w:fill="FFFFFF"/>
        </w:rPr>
      </w:pPr>
      <w:bookmarkStart w:id="0" w:name="_GoBack"/>
      <w:bookmarkEnd w:id="0"/>
    </w:p>
    <w:sectPr w:rsidR="00851242" w:rsidRPr="008512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6"/>
    <w:multiLevelType w:val="multilevel"/>
    <w:tmpl w:val="D82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E7818"/>
    <w:multiLevelType w:val="multilevel"/>
    <w:tmpl w:val="0DA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90AD5"/>
    <w:multiLevelType w:val="multilevel"/>
    <w:tmpl w:val="921C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42"/>
    <w:rsid w:val="002D0FD5"/>
    <w:rsid w:val="00851242"/>
    <w:rsid w:val="008C51A8"/>
    <w:rsid w:val="00AA299D"/>
    <w:rsid w:val="00E01F87"/>
    <w:rsid w:val="00F1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1365"/>
  <w15:chartTrackingRefBased/>
  <w15:docId w15:val="{B05AE75C-328E-4608-B3A4-3F885777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242"/>
    <w:rPr>
      <w:b/>
      <w:bCs/>
    </w:rPr>
  </w:style>
  <w:style w:type="paragraph" w:styleId="NormalWeb">
    <w:name w:val="Normal (Web)"/>
    <w:basedOn w:val="Normal"/>
    <w:uiPriority w:val="99"/>
    <w:semiHidden/>
    <w:unhideWhenUsed/>
    <w:rsid w:val="008C5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1625">
      <w:bodyDiv w:val="1"/>
      <w:marLeft w:val="0"/>
      <w:marRight w:val="0"/>
      <w:marTop w:val="0"/>
      <w:marBottom w:val="0"/>
      <w:divBdr>
        <w:top w:val="none" w:sz="0" w:space="0" w:color="auto"/>
        <w:left w:val="none" w:sz="0" w:space="0" w:color="auto"/>
        <w:bottom w:val="none" w:sz="0" w:space="0" w:color="auto"/>
        <w:right w:val="none" w:sz="0" w:space="0" w:color="auto"/>
      </w:divBdr>
    </w:div>
    <w:div w:id="7342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jetlawyer.com/primary-sources-nigerian-law-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jetlawyer.com/sources-nigerian-law/" TargetMode="External"/><Relationship Id="rId5" Type="http://schemas.openxmlformats.org/officeDocument/2006/relationships/hyperlink" Target="http://www.djetlawyer.com/received-english-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2</cp:revision>
  <dcterms:created xsi:type="dcterms:W3CDTF">2020-04-18T12:55:00Z</dcterms:created>
  <dcterms:modified xsi:type="dcterms:W3CDTF">2020-04-18T13:32:00Z</dcterms:modified>
</cp:coreProperties>
</file>