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F1" w:rsidRDefault="000D70F1" w:rsidP="000D70F1">
      <w:pPr>
        <w:spacing w:after="0" w:line="480" w:lineRule="auto"/>
        <w:jc w:val="both"/>
        <w:rPr>
          <w:rFonts w:ascii="Calisto MT" w:hAnsi="Calisto MT" w:cs="Times New Roman"/>
          <w:b/>
          <w:sz w:val="24"/>
          <w:szCs w:val="24"/>
          <w:lang w:val="en-GB"/>
        </w:rPr>
      </w:pPr>
      <w:r>
        <w:rPr>
          <w:noProof/>
        </w:rPr>
        <mc:AlternateContent>
          <mc:Choice Requires="wps">
            <w:drawing>
              <wp:anchor distT="4294967295" distB="4294967295" distL="114300" distR="114300" simplePos="0" relativeHeight="251659264" behindDoc="0" locked="0" layoutInCell="1" allowOverlap="1" wp14:anchorId="2EC98DC9" wp14:editId="05511BFC">
                <wp:simplePos x="0" y="0"/>
                <wp:positionH relativeFrom="column">
                  <wp:posOffset>4114165</wp:posOffset>
                </wp:positionH>
                <wp:positionV relativeFrom="paragraph">
                  <wp:posOffset>-103505</wp:posOffset>
                </wp:positionV>
                <wp:extent cx="160972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1E428B"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13AB3C5C" wp14:editId="2B375689">
                <wp:simplePos x="0" y="0"/>
                <wp:positionH relativeFrom="column">
                  <wp:posOffset>28575</wp:posOffset>
                </wp:positionH>
                <wp:positionV relativeFrom="paragraph">
                  <wp:posOffset>-55880</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D90E1"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" strokecolor="black [3213]" strokeweight="1.5pt">
                <v:stroke joinstyle="miter"/>
                <o:lock v:ext="edit" shapetype="f"/>
              </v:line>
            </w:pict>
          </mc:Fallback>
        </mc:AlternateContent>
      </w:r>
    </w:p>
    <w:p w:rsidR="000D70F1" w:rsidRDefault="000D70F1" w:rsidP="000D70F1">
      <w:pPr>
        <w:spacing w:after="0" w:line="480" w:lineRule="auto"/>
        <w:jc w:val="both"/>
        <w:rPr>
          <w:rFonts w:ascii="Calisto MT" w:hAnsi="Calisto MT" w:cs="Times New Roman"/>
          <w:b/>
          <w:sz w:val="24"/>
          <w:szCs w:val="24"/>
          <w:lang w:val="en-GB"/>
        </w:rPr>
      </w:pPr>
    </w:p>
    <w:p w:rsidR="000D70F1" w:rsidRDefault="000D70F1" w:rsidP="000D70F1">
      <w:pPr>
        <w:spacing w:after="0" w:line="480" w:lineRule="auto"/>
        <w:rPr>
          <w:rFonts w:ascii="Footlight MT Light" w:hAnsi="Footlight MT Light"/>
          <w:lang w:val="en-GB"/>
        </w:rPr>
      </w:pPr>
    </w:p>
    <w:p w:rsidR="000D70F1" w:rsidRDefault="000D70F1" w:rsidP="000D70F1">
      <w:pPr>
        <w:spacing w:after="0" w:line="480" w:lineRule="auto"/>
        <w:rPr>
          <w:rFonts w:ascii="Footlight MT Light" w:hAnsi="Footlight MT Light"/>
          <w:lang w:val="en-GB"/>
        </w:rPr>
      </w:pPr>
    </w:p>
    <w:p w:rsidR="000D70F1" w:rsidRPr="0058589A" w:rsidRDefault="00E551B1" w:rsidP="000D70F1">
      <w:pPr>
        <w:spacing w:after="0" w:line="240" w:lineRule="auto"/>
        <w:rPr>
          <w:rFonts w:ascii="Footlight MT Light" w:hAnsi="Footlight MT Light"/>
          <w:b/>
          <w:bCs/>
          <w:sz w:val="72"/>
          <w:szCs w:val="72"/>
          <w:lang w:val="en-GB"/>
        </w:rPr>
      </w:pPr>
      <w:r>
        <w:rPr>
          <w:rFonts w:ascii="Footlight MT Light" w:hAnsi="Footlight MT Light"/>
          <w:b/>
          <w:bCs/>
          <w:sz w:val="72"/>
          <w:szCs w:val="72"/>
          <w:lang w:val="en-GB"/>
        </w:rPr>
        <w:t>COVID-19, ITS AETIOLOGY, HISTOPATHOLOGICAL FEATURES AND CURRENT THERAPIES</w:t>
      </w: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4"/>
          <w:szCs w:val="24"/>
          <w:lang w:val="en-GB"/>
        </w:rPr>
      </w:pPr>
    </w:p>
    <w:p w:rsidR="000D70F1" w:rsidRDefault="000D70F1" w:rsidP="000D70F1">
      <w:pPr>
        <w:spacing w:after="0" w:line="240" w:lineRule="auto"/>
        <w:jc w:val="right"/>
        <w:rPr>
          <w:rFonts w:ascii="Footlight MT Light" w:hAnsi="Footlight MT Light"/>
          <w:b/>
          <w:sz w:val="28"/>
          <w:szCs w:val="28"/>
          <w:lang w:val="en-GB"/>
        </w:rPr>
      </w:pPr>
    </w:p>
    <w:p w:rsidR="000D70F1" w:rsidRDefault="000D70F1" w:rsidP="000D70F1">
      <w:pPr>
        <w:spacing w:after="0" w:line="240" w:lineRule="auto"/>
        <w:jc w:val="right"/>
        <w:rPr>
          <w:rFonts w:ascii="Footlight MT Light" w:hAnsi="Footlight MT Light"/>
          <w:b/>
          <w:sz w:val="28"/>
          <w:szCs w:val="28"/>
          <w:lang w:val="en-GB"/>
        </w:rPr>
      </w:pPr>
    </w:p>
    <w:p w:rsidR="000D70F1" w:rsidRDefault="000D70F1" w:rsidP="000D70F1">
      <w:pPr>
        <w:spacing w:after="0" w:line="240" w:lineRule="auto"/>
        <w:jc w:val="right"/>
        <w:rPr>
          <w:rFonts w:ascii="Footlight MT Light" w:hAnsi="Footlight MT Light"/>
          <w:b/>
          <w:sz w:val="28"/>
          <w:szCs w:val="28"/>
          <w:lang w:val="en-GB"/>
        </w:rPr>
      </w:pPr>
    </w:p>
    <w:p w:rsidR="000D70F1" w:rsidRDefault="000D70F1" w:rsidP="000D70F1">
      <w:pPr>
        <w:spacing w:after="0" w:line="240" w:lineRule="auto"/>
        <w:jc w:val="right"/>
        <w:rPr>
          <w:rFonts w:ascii="Footlight MT Light" w:hAnsi="Footlight MT Light"/>
          <w:b/>
          <w:sz w:val="28"/>
          <w:szCs w:val="28"/>
          <w:lang w:val="en-GB"/>
        </w:rPr>
      </w:pPr>
    </w:p>
    <w:p w:rsidR="000D70F1" w:rsidRDefault="000D70F1" w:rsidP="000D70F1">
      <w:pPr>
        <w:spacing w:after="0" w:line="240" w:lineRule="auto"/>
        <w:jc w:val="right"/>
        <w:rPr>
          <w:rFonts w:ascii="Footlight MT Light" w:hAnsi="Footlight MT Light"/>
          <w:b/>
          <w:sz w:val="28"/>
          <w:szCs w:val="28"/>
          <w:lang w:val="en-GB"/>
        </w:rPr>
      </w:pPr>
    </w:p>
    <w:p w:rsidR="000D70F1" w:rsidRDefault="000D70F1" w:rsidP="000D70F1">
      <w:pPr>
        <w:spacing w:after="0" w:line="240" w:lineRule="auto"/>
        <w:jc w:val="right"/>
        <w:rPr>
          <w:rFonts w:ascii="Footlight MT Light" w:hAnsi="Footlight MT Light"/>
          <w:b/>
          <w:sz w:val="28"/>
          <w:szCs w:val="28"/>
          <w:lang w:val="en-GB"/>
        </w:rPr>
      </w:pPr>
      <w:r>
        <w:rPr>
          <w:rFonts w:ascii="Footlight MT Light" w:hAnsi="Footlight MT Light"/>
          <w:b/>
          <w:sz w:val="28"/>
          <w:szCs w:val="28"/>
          <w:lang w:val="en-GB"/>
        </w:rPr>
        <w:t xml:space="preserve">By: </w:t>
      </w:r>
    </w:p>
    <w:p w:rsidR="000D70F1" w:rsidRDefault="000D70F1" w:rsidP="000D70F1">
      <w:pPr>
        <w:spacing w:after="0" w:line="240" w:lineRule="auto"/>
        <w:jc w:val="right"/>
        <w:rPr>
          <w:rFonts w:ascii="Footlight MT Light" w:hAnsi="Footlight MT Light"/>
          <w:sz w:val="28"/>
          <w:szCs w:val="28"/>
          <w:lang w:val="en-GB"/>
        </w:rPr>
      </w:pPr>
      <w:r>
        <w:rPr>
          <w:rFonts w:ascii="Footlight MT Light" w:hAnsi="Footlight MT Light"/>
          <w:sz w:val="28"/>
          <w:szCs w:val="28"/>
          <w:lang w:val="en-GB"/>
        </w:rPr>
        <w:t xml:space="preserve">ANYANWU COLLINS-KEVIN </w:t>
      </w:r>
    </w:p>
    <w:p w:rsidR="000D70F1" w:rsidRDefault="000D70F1" w:rsidP="000D70F1">
      <w:pPr>
        <w:spacing w:after="0" w:line="240" w:lineRule="auto"/>
        <w:jc w:val="right"/>
        <w:rPr>
          <w:rFonts w:ascii="Footlight MT Light" w:hAnsi="Footlight MT Light"/>
          <w:sz w:val="28"/>
          <w:szCs w:val="28"/>
          <w:lang w:val="en-GB"/>
        </w:rPr>
      </w:pPr>
      <w:r>
        <w:rPr>
          <w:rFonts w:ascii="Footlight MT Light" w:hAnsi="Footlight MT Light"/>
          <w:sz w:val="28"/>
          <w:szCs w:val="28"/>
          <w:lang w:val="en-GB"/>
        </w:rPr>
        <w:t>16/MHS01/046</w:t>
      </w:r>
    </w:p>
    <w:p w:rsidR="000D70F1" w:rsidRDefault="000D70F1" w:rsidP="000D70F1">
      <w:pPr>
        <w:spacing w:after="0" w:line="480" w:lineRule="auto"/>
        <w:rPr>
          <w:rFonts w:ascii="Footlight MT Light" w:hAnsi="Footlight MT Light"/>
          <w:b/>
          <w:sz w:val="28"/>
          <w:szCs w:val="28"/>
          <w:lang w:val="en-GB"/>
        </w:rPr>
      </w:pPr>
    </w:p>
    <w:p w:rsidR="000D70F1" w:rsidRDefault="000D70F1" w:rsidP="000D70F1">
      <w:pPr>
        <w:spacing w:after="0" w:line="480" w:lineRule="auto"/>
        <w:rPr>
          <w:rFonts w:ascii="Footlight MT Light" w:hAnsi="Footlight MT Light"/>
          <w:b/>
          <w:sz w:val="28"/>
          <w:szCs w:val="28"/>
          <w:lang w:val="en-GB"/>
        </w:rPr>
      </w:pPr>
    </w:p>
    <w:p w:rsidR="000D70F1" w:rsidRDefault="000D70F1" w:rsidP="000D70F1">
      <w:pPr>
        <w:spacing w:after="0" w:line="480" w:lineRule="auto"/>
        <w:rPr>
          <w:rFonts w:ascii="Footlight MT Light" w:hAnsi="Footlight MT Light"/>
          <w:b/>
          <w:sz w:val="28"/>
          <w:szCs w:val="28"/>
          <w:lang w:val="en-GB"/>
        </w:rPr>
      </w:pPr>
    </w:p>
    <w:p w:rsidR="000D70F1" w:rsidRDefault="000D70F1" w:rsidP="000D70F1">
      <w:pPr>
        <w:spacing w:after="0" w:line="480" w:lineRule="auto"/>
        <w:rPr>
          <w:rFonts w:ascii="Footlight MT Light" w:hAnsi="Footlight MT Light"/>
          <w:b/>
          <w:sz w:val="28"/>
          <w:szCs w:val="28"/>
          <w:lang w:val="en-GB"/>
        </w:rPr>
      </w:pPr>
    </w:p>
    <w:p w:rsidR="000D70F1" w:rsidRDefault="000D70F1" w:rsidP="000D70F1">
      <w:pPr>
        <w:spacing w:after="0" w:line="480" w:lineRule="auto"/>
        <w:jc w:val="both"/>
        <w:rPr>
          <w:rFonts w:ascii="Calisto MT" w:hAnsi="Calisto MT" w:cs="Times New Roman"/>
          <w:b/>
          <w:sz w:val="24"/>
          <w:szCs w:val="24"/>
          <w:lang w:val="en-GB"/>
        </w:rPr>
      </w:pPr>
      <w:r>
        <w:rPr>
          <w:rFonts w:ascii="Calisto MT" w:hAnsi="Calisto MT"/>
          <w:b/>
          <w:sz w:val="24"/>
          <w:szCs w:val="24"/>
          <w:lang w:val="en-GB"/>
        </w:rPr>
        <w:br w:type="page"/>
      </w:r>
      <w:r>
        <w:rPr>
          <w:noProof/>
        </w:rPr>
        <mc:AlternateContent>
          <mc:Choice Requires="wps">
            <w:drawing>
              <wp:anchor distT="4294967295" distB="4294967295" distL="114300" distR="114300" simplePos="0" relativeHeight="251661312" behindDoc="0" locked="0" layoutInCell="1" allowOverlap="1" wp14:anchorId="04FF99B1" wp14:editId="5CB7DF8F">
                <wp:simplePos x="0" y="0"/>
                <wp:positionH relativeFrom="column">
                  <wp:posOffset>28575</wp:posOffset>
                </wp:positionH>
                <wp:positionV relativeFrom="paragraph">
                  <wp:posOffset>-55880</wp:posOffset>
                </wp:positionV>
                <wp:extent cx="569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2818D"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" strokecolor="black [3213]" strokeweight="1.5pt">
                <v:stroke joinstyle="miter"/>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15085D00" wp14:editId="7CE479A0">
                <wp:simplePos x="0" y="0"/>
                <wp:positionH relativeFrom="column">
                  <wp:posOffset>4114165</wp:posOffset>
                </wp:positionH>
                <wp:positionV relativeFrom="paragraph">
                  <wp:posOffset>-103505</wp:posOffset>
                </wp:positionV>
                <wp:extent cx="160972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68DBA0"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Pu4wEAACkEAAAOAAAAZHJzL2Uyb0RvYy54bWysU9uO2yAUfK/Uf0C8N3YsNdtacfYhq+3L&#10;qo2a7gewGGJU4CCgsfP3PeBLthdV2lVfkOHMDGeG4+3tYDQ5Cx8U2IauVyUlwnJolT019PHb/bs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" strokecolor="black [3213]" strokeweight="6pt">
                <v:stroke joinstyle="miter"/>
                <o:lock v:ext="edit" shapetype="f"/>
              </v:line>
            </w:pict>
          </mc:Fallback>
        </mc:AlternateContent>
      </w:r>
    </w:p>
    <w:p w:rsidR="0036519C" w:rsidRPr="00DB41F8" w:rsidRDefault="007B2CD1" w:rsidP="000D70F1">
      <w:pPr>
        <w:spacing w:after="0" w:line="480" w:lineRule="auto"/>
        <w:jc w:val="both"/>
        <w:rPr>
          <w:rFonts w:ascii="Calisto MT" w:hAnsi="Calisto MT"/>
          <w:b/>
          <w:sz w:val="24"/>
          <w:szCs w:val="24"/>
        </w:rPr>
      </w:pPr>
      <w:r w:rsidRPr="00DB41F8">
        <w:rPr>
          <w:rFonts w:ascii="Calisto MT" w:hAnsi="Calisto MT"/>
          <w:b/>
          <w:sz w:val="24"/>
          <w:szCs w:val="24"/>
        </w:rPr>
        <w:lastRenderedPageBreak/>
        <w:t xml:space="preserve">1.1: COVID-19 </w:t>
      </w:r>
    </w:p>
    <w:p w:rsidR="00FA6728" w:rsidRDefault="00DB41F8" w:rsidP="00FA6728">
      <w:pPr>
        <w:spacing w:after="0" w:line="480" w:lineRule="auto"/>
        <w:ind w:firstLine="720"/>
        <w:jc w:val="both"/>
        <w:rPr>
          <w:rFonts w:ascii="Calisto MT" w:hAnsi="Calisto MT"/>
          <w:sz w:val="24"/>
          <w:szCs w:val="24"/>
        </w:rPr>
      </w:pPr>
      <w:r w:rsidRPr="00DB41F8">
        <w:rPr>
          <w:rFonts w:ascii="Calisto MT" w:hAnsi="Calisto MT"/>
          <w:sz w:val="24"/>
          <w:szCs w:val="24"/>
        </w:rPr>
        <w:t>Coronaviruses belong to the Coronaviridae family in the Nidovirales order. Corona represents crown-like spikes on the outer surface of the virus; thus, it was named as a coronavirus</w:t>
      </w:r>
      <w:r w:rsidR="00BF7183">
        <w:rPr>
          <w:rFonts w:ascii="Calisto MT" w:hAnsi="Calisto MT"/>
          <w:sz w:val="24"/>
          <w:szCs w:val="24"/>
        </w:rPr>
        <w:t xml:space="preserve"> (Lupia </w:t>
      </w:r>
      <w:r w:rsidR="00BF7183">
        <w:rPr>
          <w:rFonts w:ascii="Calisto MT" w:hAnsi="Calisto MT"/>
          <w:i/>
          <w:sz w:val="24"/>
          <w:szCs w:val="24"/>
        </w:rPr>
        <w:t xml:space="preserve">et al., </w:t>
      </w:r>
      <w:r w:rsidR="00BF7183">
        <w:rPr>
          <w:rFonts w:ascii="Calisto MT" w:hAnsi="Calisto MT"/>
          <w:sz w:val="24"/>
          <w:szCs w:val="24"/>
        </w:rPr>
        <w:t>2020)</w:t>
      </w:r>
      <w:r w:rsidRPr="00DB41F8">
        <w:rPr>
          <w:rFonts w:ascii="Calisto MT" w:hAnsi="Calisto MT"/>
          <w:sz w:val="24"/>
          <w:szCs w:val="24"/>
        </w:rPr>
        <w:t>.</w:t>
      </w:r>
      <w:r>
        <w:rPr>
          <w:rFonts w:ascii="Calisto MT" w:hAnsi="Calisto MT"/>
          <w:sz w:val="24"/>
          <w:szCs w:val="24"/>
        </w:rPr>
        <w:t xml:space="preserve"> </w:t>
      </w:r>
      <w:r w:rsidRPr="00DB41F8">
        <w:rPr>
          <w:rFonts w:ascii="Calisto MT" w:hAnsi="Calisto MT"/>
          <w:sz w:val="24"/>
          <w:szCs w:val="24"/>
        </w:rPr>
        <w:t>Coronaviruses are minute in size (65–125 nm in diameter) and contain a single-stranded RNA as a nucleic material, size ranging fr</w:t>
      </w:r>
      <w:r w:rsidR="00B7017F">
        <w:rPr>
          <w:rFonts w:ascii="Calisto MT" w:hAnsi="Calisto MT"/>
          <w:sz w:val="24"/>
          <w:szCs w:val="24"/>
        </w:rPr>
        <w:t>om 26 to 32kbs in length</w:t>
      </w:r>
      <w:r w:rsidRPr="00DB41F8">
        <w:rPr>
          <w:rFonts w:ascii="Calisto MT" w:hAnsi="Calisto MT"/>
          <w:sz w:val="24"/>
          <w:szCs w:val="24"/>
        </w:rPr>
        <w:t>. The subgroups of coronaviruses family are alpha (</w:t>
      </w:r>
      <w:r>
        <w:rPr>
          <w:rFonts w:ascii="Times New Roman" w:hAnsi="Times New Roman" w:cs="Times New Roman"/>
          <w:sz w:val="24"/>
          <w:szCs w:val="24"/>
        </w:rPr>
        <w:t>α</w:t>
      </w:r>
      <w:r w:rsidRPr="00DB41F8">
        <w:rPr>
          <w:rFonts w:ascii="Calisto MT" w:hAnsi="Calisto MT"/>
          <w:sz w:val="24"/>
          <w:szCs w:val="24"/>
        </w:rPr>
        <w:t>), beta (</w:t>
      </w:r>
      <w:r>
        <w:rPr>
          <w:rFonts w:ascii="Times New Roman" w:hAnsi="Times New Roman" w:cs="Times New Roman"/>
          <w:sz w:val="24"/>
          <w:szCs w:val="24"/>
        </w:rPr>
        <w:t>β</w:t>
      </w:r>
      <w:r w:rsidRPr="00DB41F8">
        <w:rPr>
          <w:rFonts w:ascii="Calisto MT" w:hAnsi="Calisto MT"/>
          <w:sz w:val="24"/>
          <w:szCs w:val="24"/>
        </w:rPr>
        <w:t xml:space="preserve">), gamma </w:t>
      </w:r>
      <w:r w:rsidR="005D74A8">
        <w:rPr>
          <w:rFonts w:ascii="Calisto MT" w:hAnsi="Calisto MT"/>
          <w:sz w:val="24"/>
          <w:szCs w:val="24"/>
        </w:rPr>
        <w:t>(y</w:t>
      </w:r>
      <w:r>
        <w:rPr>
          <w:rFonts w:ascii="Calisto MT" w:hAnsi="Calisto MT"/>
          <w:sz w:val="24"/>
          <w:szCs w:val="24"/>
        </w:rPr>
        <w:t xml:space="preserve">) </w:t>
      </w:r>
      <w:r w:rsidR="005D74A8">
        <w:rPr>
          <w:rFonts w:ascii="Calisto MT" w:hAnsi="Calisto MT"/>
          <w:sz w:val="24"/>
          <w:szCs w:val="24"/>
        </w:rPr>
        <w:t>and delta (∆</w:t>
      </w:r>
      <w:r w:rsidRPr="00DB41F8">
        <w:rPr>
          <w:rFonts w:ascii="Calisto MT" w:hAnsi="Calisto MT"/>
          <w:sz w:val="24"/>
          <w:szCs w:val="24"/>
        </w:rPr>
        <w:t>) coronavirus</w:t>
      </w:r>
      <w:r w:rsidR="00BF7183">
        <w:rPr>
          <w:rFonts w:ascii="Calisto MT" w:hAnsi="Calisto MT"/>
          <w:sz w:val="24"/>
          <w:szCs w:val="24"/>
        </w:rPr>
        <w:t xml:space="preserve"> (Shereen </w:t>
      </w:r>
      <w:r w:rsidR="00BF7183">
        <w:rPr>
          <w:rFonts w:ascii="Calisto MT" w:hAnsi="Calisto MT"/>
          <w:i/>
          <w:sz w:val="24"/>
          <w:szCs w:val="24"/>
        </w:rPr>
        <w:t xml:space="preserve">et al., </w:t>
      </w:r>
      <w:r w:rsidR="00BF7183">
        <w:rPr>
          <w:rFonts w:ascii="Calisto MT" w:hAnsi="Calisto MT"/>
          <w:sz w:val="24"/>
          <w:szCs w:val="24"/>
        </w:rPr>
        <w:t>2020)</w:t>
      </w:r>
      <w:r w:rsidRPr="00DB41F8">
        <w:rPr>
          <w:rFonts w:ascii="Calisto MT" w:hAnsi="Calisto MT"/>
          <w:sz w:val="24"/>
          <w:szCs w:val="24"/>
        </w:rPr>
        <w:t>.</w:t>
      </w:r>
      <w:r w:rsidR="009F794E" w:rsidRPr="009F794E">
        <w:t xml:space="preserve"> </w:t>
      </w:r>
      <w:r w:rsidR="009F794E" w:rsidRPr="009F794E">
        <w:rPr>
          <w:rFonts w:ascii="Calisto MT" w:hAnsi="Calisto MT"/>
          <w:sz w:val="24"/>
          <w:szCs w:val="24"/>
        </w:rPr>
        <w:t>The severe acute respiratory syndrome coronavirus (SARS-CoV), H5N1 influenza A</w:t>
      </w:r>
      <w:r w:rsidR="00AF448F">
        <w:rPr>
          <w:rFonts w:ascii="Calisto MT" w:hAnsi="Calisto MT"/>
          <w:sz w:val="24"/>
          <w:szCs w:val="24"/>
        </w:rPr>
        <w:t xml:space="preserve"> </w:t>
      </w:r>
      <w:r w:rsidR="009F794E" w:rsidRPr="009F794E">
        <w:rPr>
          <w:rFonts w:ascii="Calisto MT" w:hAnsi="Calisto MT"/>
          <w:sz w:val="24"/>
          <w:szCs w:val="24"/>
        </w:rPr>
        <w:t>and Middle East respiratory syndrome coronavirus (MERS-CoV) cause acute lung injury (ALI) and acute respiratory distress syndrome (ARDS) which leads to pulmonary failure and result in fatality</w:t>
      </w:r>
      <w:r w:rsidR="00BF7183">
        <w:rPr>
          <w:rFonts w:ascii="Calisto MT" w:hAnsi="Calisto MT"/>
          <w:sz w:val="24"/>
          <w:szCs w:val="24"/>
        </w:rPr>
        <w:t xml:space="preserve"> (Lupia </w:t>
      </w:r>
      <w:r w:rsidR="00BF7183">
        <w:rPr>
          <w:rFonts w:ascii="Calisto MT" w:hAnsi="Calisto MT"/>
          <w:i/>
          <w:sz w:val="24"/>
          <w:szCs w:val="24"/>
        </w:rPr>
        <w:t xml:space="preserve">et al., </w:t>
      </w:r>
      <w:r w:rsidR="00BF7183">
        <w:rPr>
          <w:rFonts w:ascii="Calisto MT" w:hAnsi="Calisto MT"/>
          <w:sz w:val="24"/>
          <w:szCs w:val="24"/>
        </w:rPr>
        <w:t>2020)</w:t>
      </w:r>
      <w:r w:rsidR="009F794E" w:rsidRPr="009F794E">
        <w:rPr>
          <w:rFonts w:ascii="Calisto MT" w:hAnsi="Calisto MT"/>
          <w:sz w:val="24"/>
          <w:szCs w:val="24"/>
        </w:rPr>
        <w:t xml:space="preserve">. These viruses were thought to infect only animals until the world witnessed a severe acute respiratory syndrome (SARS) outbreak caused by SARS-CoV, 2002 </w:t>
      </w:r>
      <w:r w:rsidR="009F794E">
        <w:rPr>
          <w:rFonts w:ascii="Calisto MT" w:hAnsi="Calisto MT"/>
          <w:sz w:val="24"/>
          <w:szCs w:val="24"/>
        </w:rPr>
        <w:t>in Guangdong, China</w:t>
      </w:r>
      <w:r w:rsidR="009F794E" w:rsidRPr="009F794E">
        <w:rPr>
          <w:rFonts w:ascii="Calisto MT" w:hAnsi="Calisto MT"/>
          <w:sz w:val="24"/>
          <w:szCs w:val="24"/>
        </w:rPr>
        <w:t>. Only a decade later, another pathogenic coronavirus, known as Middle East respiratory syndrome coronavirus (MERS-CoV) caused an endemic in Middle Eastern countries</w:t>
      </w:r>
      <w:r w:rsidR="009F794E">
        <w:rPr>
          <w:rFonts w:ascii="Calisto MT" w:hAnsi="Calisto MT"/>
          <w:sz w:val="24"/>
          <w:szCs w:val="24"/>
        </w:rPr>
        <w:t xml:space="preserve"> </w:t>
      </w:r>
      <w:r w:rsidR="009F794E" w:rsidRPr="009F794E">
        <w:rPr>
          <w:rFonts w:ascii="Calisto MT" w:hAnsi="Calisto MT"/>
          <w:sz w:val="24"/>
          <w:szCs w:val="24"/>
        </w:rPr>
        <w:t>Recently at the end of 2019, Wuhan an emerging business hub of China experienced an outbreak of a novel coronavirus that killed more than eighteen hundred and infected over seventy thousand individuals within the first fifty days of the epidemic</w:t>
      </w:r>
      <w:r w:rsidR="00BF7183">
        <w:rPr>
          <w:rFonts w:ascii="Calisto MT" w:hAnsi="Calisto MT"/>
          <w:sz w:val="24"/>
          <w:szCs w:val="24"/>
        </w:rPr>
        <w:t xml:space="preserve"> (Lupia </w:t>
      </w:r>
      <w:r w:rsidR="00BF7183">
        <w:rPr>
          <w:rFonts w:ascii="Calisto MT" w:hAnsi="Calisto MT"/>
          <w:i/>
          <w:sz w:val="24"/>
          <w:szCs w:val="24"/>
        </w:rPr>
        <w:t xml:space="preserve">et al., </w:t>
      </w:r>
      <w:r w:rsidR="00BF7183">
        <w:rPr>
          <w:rFonts w:ascii="Calisto MT" w:hAnsi="Calisto MT"/>
          <w:sz w:val="24"/>
          <w:szCs w:val="24"/>
        </w:rPr>
        <w:t>2020)</w:t>
      </w:r>
      <w:r w:rsidR="009F794E" w:rsidRPr="009F794E">
        <w:rPr>
          <w:rFonts w:ascii="Calisto MT" w:hAnsi="Calisto MT"/>
          <w:sz w:val="24"/>
          <w:szCs w:val="24"/>
        </w:rPr>
        <w:t>. This virus was reported to be a member of t</w:t>
      </w:r>
      <w:r w:rsidR="009F794E">
        <w:rPr>
          <w:rFonts w:ascii="Calisto MT" w:hAnsi="Calisto MT"/>
          <w:sz w:val="24"/>
          <w:szCs w:val="24"/>
        </w:rPr>
        <w:t xml:space="preserve">he </w:t>
      </w:r>
      <w:r w:rsidR="009F794E">
        <w:rPr>
          <w:rFonts w:ascii="Times New Roman" w:hAnsi="Times New Roman" w:cs="Times New Roman"/>
          <w:sz w:val="24"/>
          <w:szCs w:val="24"/>
        </w:rPr>
        <w:t>β</w:t>
      </w:r>
      <w:r w:rsidR="009F794E" w:rsidRPr="009F794E">
        <w:rPr>
          <w:rFonts w:ascii="Calisto MT" w:hAnsi="Calisto MT"/>
          <w:sz w:val="24"/>
          <w:szCs w:val="24"/>
        </w:rPr>
        <w:t xml:space="preserve"> group of coronaviruses. The novel virus was named as Wuhan coronavirus or 2019 novel coronavirus (2019-nCov) by the Chinese researchers</w:t>
      </w:r>
      <w:r w:rsidR="00BF7183">
        <w:rPr>
          <w:rFonts w:ascii="Calisto MT" w:hAnsi="Calisto MT"/>
          <w:sz w:val="24"/>
          <w:szCs w:val="24"/>
        </w:rPr>
        <w:t xml:space="preserve"> (Shereen </w:t>
      </w:r>
      <w:r w:rsidR="00BF7183">
        <w:rPr>
          <w:rFonts w:ascii="Calisto MT" w:hAnsi="Calisto MT"/>
          <w:i/>
          <w:sz w:val="24"/>
          <w:szCs w:val="24"/>
        </w:rPr>
        <w:t xml:space="preserve">et al., </w:t>
      </w:r>
      <w:r w:rsidR="00BF7183">
        <w:rPr>
          <w:rFonts w:ascii="Calisto MT" w:hAnsi="Calisto MT"/>
          <w:sz w:val="24"/>
          <w:szCs w:val="24"/>
        </w:rPr>
        <w:t>2020)</w:t>
      </w:r>
      <w:r w:rsidR="009F794E" w:rsidRPr="009F794E">
        <w:rPr>
          <w:rFonts w:ascii="Calisto MT" w:hAnsi="Calisto MT"/>
          <w:sz w:val="24"/>
          <w:szCs w:val="24"/>
        </w:rPr>
        <w:t>. The International Committee on Taxonomy of Viruses (ICTV) named the virus as SARS-CoV-2 and the disease as COVID-1</w:t>
      </w:r>
      <w:r w:rsidR="009F794E">
        <w:rPr>
          <w:rFonts w:ascii="Calisto MT" w:hAnsi="Calisto MT"/>
          <w:sz w:val="24"/>
          <w:szCs w:val="24"/>
        </w:rPr>
        <w:t>9</w:t>
      </w:r>
      <w:r w:rsidR="009F794E" w:rsidRPr="009F794E">
        <w:rPr>
          <w:rFonts w:ascii="Calisto MT" w:hAnsi="Calisto MT"/>
          <w:sz w:val="24"/>
          <w:szCs w:val="24"/>
        </w:rPr>
        <w:t xml:space="preserve">. In the history, SRAS-CoV (2003) infected 8098 individuals with mortality rate of 9%, across 26 </w:t>
      </w:r>
      <w:r w:rsidR="0045334F" w:rsidRPr="009F794E">
        <w:rPr>
          <w:rFonts w:ascii="Calisto MT" w:hAnsi="Calisto MT"/>
          <w:sz w:val="24"/>
          <w:szCs w:val="24"/>
        </w:rPr>
        <w:t>countries</w:t>
      </w:r>
      <w:r w:rsidR="009F794E" w:rsidRPr="009F794E">
        <w:rPr>
          <w:rFonts w:ascii="Calisto MT" w:hAnsi="Calisto MT"/>
          <w:sz w:val="24"/>
          <w:szCs w:val="24"/>
        </w:rPr>
        <w:t xml:space="preserve"> in the world, on the other hand, novel corona virus (2019) infected </w:t>
      </w:r>
      <w:r w:rsidR="009F794E" w:rsidRPr="009F794E">
        <w:rPr>
          <w:rFonts w:ascii="Calisto MT" w:hAnsi="Calisto MT"/>
          <w:sz w:val="24"/>
          <w:szCs w:val="24"/>
        </w:rPr>
        <w:lastRenderedPageBreak/>
        <w:t xml:space="preserve">120,000 </w:t>
      </w:r>
      <w:r w:rsidR="0045334F" w:rsidRPr="009F794E">
        <w:rPr>
          <w:rFonts w:ascii="Calisto MT" w:hAnsi="Calisto MT"/>
          <w:sz w:val="24"/>
          <w:szCs w:val="24"/>
        </w:rPr>
        <w:t>individuals</w:t>
      </w:r>
      <w:r w:rsidR="009F794E" w:rsidRPr="009F794E">
        <w:rPr>
          <w:rFonts w:ascii="Calisto MT" w:hAnsi="Calisto MT"/>
          <w:sz w:val="24"/>
          <w:szCs w:val="24"/>
        </w:rPr>
        <w:t xml:space="preserve"> with mortality rate of 2.9%, across 109 countries</w:t>
      </w:r>
      <w:r w:rsidR="00BF7183">
        <w:rPr>
          <w:rFonts w:ascii="Calisto MT" w:hAnsi="Calisto MT"/>
          <w:sz w:val="24"/>
          <w:szCs w:val="24"/>
        </w:rPr>
        <w:t xml:space="preserve"> (Shereen </w:t>
      </w:r>
      <w:r w:rsidR="00BF7183">
        <w:rPr>
          <w:rFonts w:ascii="Calisto MT" w:hAnsi="Calisto MT"/>
          <w:i/>
          <w:sz w:val="24"/>
          <w:szCs w:val="24"/>
        </w:rPr>
        <w:t xml:space="preserve">et al., </w:t>
      </w:r>
      <w:r w:rsidR="00BF7183">
        <w:rPr>
          <w:rFonts w:ascii="Calisto MT" w:hAnsi="Calisto MT"/>
          <w:sz w:val="24"/>
          <w:szCs w:val="24"/>
        </w:rPr>
        <w:t>2020).</w:t>
      </w:r>
      <w:r w:rsidR="00FA6728">
        <w:rPr>
          <w:rFonts w:ascii="Calisto MT" w:hAnsi="Calisto MT"/>
          <w:sz w:val="24"/>
          <w:szCs w:val="24"/>
        </w:rPr>
        <w:t xml:space="preserve">                                                                        </w:t>
      </w:r>
      <w:r w:rsidR="00FA6728" w:rsidRPr="00FA6728">
        <w:rPr>
          <w:rFonts w:ascii="Calisto MT" w:hAnsi="Calisto MT"/>
          <w:b/>
          <w:sz w:val="24"/>
          <w:szCs w:val="24"/>
        </w:rPr>
        <w:t>1.</w:t>
      </w:r>
      <w:r w:rsidR="00FA6728">
        <w:rPr>
          <w:rFonts w:ascii="Calisto MT" w:hAnsi="Calisto MT"/>
          <w:b/>
          <w:sz w:val="24"/>
          <w:szCs w:val="24"/>
        </w:rPr>
        <w:t>2</w:t>
      </w:r>
      <w:r w:rsidR="00FA6728" w:rsidRPr="00FA6728">
        <w:rPr>
          <w:rFonts w:ascii="Calisto MT" w:hAnsi="Calisto MT"/>
          <w:b/>
          <w:sz w:val="24"/>
          <w:szCs w:val="24"/>
        </w:rPr>
        <w:t>: Aeitiology of COVID-19</w:t>
      </w:r>
    </w:p>
    <w:p w:rsidR="009A395E" w:rsidRDefault="009A395E" w:rsidP="00FA6728">
      <w:pPr>
        <w:spacing w:after="0" w:line="480" w:lineRule="auto"/>
        <w:ind w:firstLine="720"/>
        <w:jc w:val="both"/>
        <w:rPr>
          <w:rFonts w:ascii="Calisto MT" w:hAnsi="Calisto MT"/>
          <w:sz w:val="24"/>
          <w:szCs w:val="24"/>
        </w:rPr>
      </w:pPr>
      <w:r w:rsidRPr="009A395E">
        <w:rPr>
          <w:rFonts w:ascii="Calisto MT" w:hAnsi="Calisto MT"/>
          <w:sz w:val="24"/>
          <w:szCs w:val="24"/>
        </w:rPr>
        <w:t>All coronaviruses contain specific genes in ORF1</w:t>
      </w:r>
      <w:r w:rsidR="002C7437">
        <w:rPr>
          <w:rFonts w:ascii="Calisto MT" w:hAnsi="Calisto MT"/>
          <w:sz w:val="24"/>
          <w:szCs w:val="24"/>
        </w:rPr>
        <w:t>-Protein</w:t>
      </w:r>
      <w:r w:rsidRPr="009A395E">
        <w:rPr>
          <w:rFonts w:ascii="Calisto MT" w:hAnsi="Calisto MT"/>
          <w:sz w:val="24"/>
          <w:szCs w:val="24"/>
        </w:rPr>
        <w:t xml:space="preserve"> downstream regions that encode proteins for viral replication, nucleocapsid and spikes formation. The glycoprotein spikes on the outer surface of coronaviruses are responsible for the attachment and entry of </w:t>
      </w:r>
      <w:r w:rsidR="00364F74">
        <w:rPr>
          <w:rFonts w:ascii="Calisto MT" w:hAnsi="Calisto MT"/>
          <w:sz w:val="24"/>
          <w:szCs w:val="24"/>
        </w:rPr>
        <w:t>the virus to host cells</w:t>
      </w:r>
      <w:r w:rsidR="00BF5D0E">
        <w:rPr>
          <w:rFonts w:ascii="Calisto MT" w:hAnsi="Calisto MT"/>
          <w:sz w:val="24"/>
          <w:szCs w:val="24"/>
        </w:rPr>
        <w:t xml:space="preserve"> (Xu </w:t>
      </w:r>
      <w:r w:rsidR="00BF5D0E">
        <w:rPr>
          <w:rFonts w:ascii="Calisto MT" w:hAnsi="Calisto MT"/>
          <w:i/>
          <w:sz w:val="24"/>
          <w:szCs w:val="24"/>
        </w:rPr>
        <w:t xml:space="preserve">et al., </w:t>
      </w:r>
      <w:r w:rsidR="00BF5D0E">
        <w:rPr>
          <w:rFonts w:ascii="Calisto MT" w:hAnsi="Calisto MT"/>
          <w:sz w:val="24"/>
          <w:szCs w:val="24"/>
        </w:rPr>
        <w:t>2020)</w:t>
      </w:r>
      <w:r w:rsidRPr="009A395E">
        <w:rPr>
          <w:rFonts w:ascii="Calisto MT" w:hAnsi="Calisto MT"/>
          <w:sz w:val="24"/>
          <w:szCs w:val="24"/>
        </w:rPr>
        <w:t>. The receptor-binding domain (RBD) is loosely attached among virus, therefore, the virus may infect multiple hosts. Other coronaviruses mostly recognize aminopeptidases or carbohydrates as a key receptor for entry to human cells while SARS-CoV and MERS-CoV recognize exopeptidase</w:t>
      </w:r>
      <w:r w:rsidR="00364F74">
        <w:rPr>
          <w:rFonts w:ascii="Calisto MT" w:hAnsi="Calisto MT"/>
          <w:sz w:val="24"/>
          <w:szCs w:val="24"/>
        </w:rPr>
        <w:t>s</w:t>
      </w:r>
      <w:r w:rsidR="00BF5D0E">
        <w:rPr>
          <w:rFonts w:ascii="Calisto MT" w:hAnsi="Calisto MT"/>
          <w:sz w:val="24"/>
          <w:szCs w:val="24"/>
        </w:rPr>
        <w:t xml:space="preserve"> (Bai </w:t>
      </w:r>
      <w:r w:rsidR="00BF5D0E">
        <w:rPr>
          <w:rFonts w:ascii="Calisto MT" w:hAnsi="Calisto MT"/>
          <w:i/>
          <w:sz w:val="24"/>
          <w:szCs w:val="24"/>
        </w:rPr>
        <w:t xml:space="preserve">et al., </w:t>
      </w:r>
      <w:r w:rsidR="00BF5D0E">
        <w:rPr>
          <w:rFonts w:ascii="Calisto MT" w:hAnsi="Calisto MT"/>
          <w:sz w:val="24"/>
          <w:szCs w:val="24"/>
        </w:rPr>
        <w:t>2020)</w:t>
      </w:r>
      <w:r w:rsidRPr="009A395E">
        <w:rPr>
          <w:rFonts w:ascii="Calisto MT" w:hAnsi="Calisto MT"/>
          <w:sz w:val="24"/>
          <w:szCs w:val="24"/>
        </w:rPr>
        <w:t>. The entry mechanism of a coronavirus depends upon cellular proteases which include, human airway trypsin-like protease (HAT), cathepsins and transmembrane protease serine 2 (TMPRSS2) that split the spike protein and establish further penetration cha</w:t>
      </w:r>
      <w:r w:rsidR="00364F74">
        <w:rPr>
          <w:rFonts w:ascii="Calisto MT" w:hAnsi="Calisto MT"/>
          <w:sz w:val="24"/>
          <w:szCs w:val="24"/>
        </w:rPr>
        <w:t>nges</w:t>
      </w:r>
      <w:r w:rsidR="00BF5D0E">
        <w:rPr>
          <w:rFonts w:ascii="Calisto MT" w:hAnsi="Calisto MT"/>
          <w:sz w:val="24"/>
          <w:szCs w:val="24"/>
        </w:rPr>
        <w:t xml:space="preserve"> (Xu </w:t>
      </w:r>
      <w:r w:rsidR="00BF5D0E">
        <w:rPr>
          <w:rFonts w:ascii="Calisto MT" w:hAnsi="Calisto MT"/>
          <w:i/>
          <w:sz w:val="24"/>
          <w:szCs w:val="24"/>
        </w:rPr>
        <w:t xml:space="preserve">et al., </w:t>
      </w:r>
      <w:r w:rsidR="00BF5D0E">
        <w:rPr>
          <w:rFonts w:ascii="Calisto MT" w:hAnsi="Calisto MT"/>
          <w:sz w:val="24"/>
          <w:szCs w:val="24"/>
        </w:rPr>
        <w:t>2020)</w:t>
      </w:r>
      <w:r w:rsidRPr="009A395E">
        <w:rPr>
          <w:rFonts w:ascii="Calisto MT" w:hAnsi="Calisto MT"/>
          <w:sz w:val="24"/>
          <w:szCs w:val="24"/>
        </w:rPr>
        <w:t>. MERS-coronavirus employs dipeptidyl peptidase 4 (DPP4), while HCoV-NL63 and SARS-coronavirus require angiotensin-converting enzyme 2</w:t>
      </w:r>
      <w:r w:rsidR="00364F74">
        <w:rPr>
          <w:rFonts w:ascii="Calisto MT" w:hAnsi="Calisto MT"/>
          <w:sz w:val="24"/>
          <w:szCs w:val="24"/>
        </w:rPr>
        <w:t xml:space="preserve"> (ACE2) as a key receptor</w:t>
      </w:r>
      <w:r w:rsidR="00BF5D0E">
        <w:rPr>
          <w:rFonts w:ascii="Calisto MT" w:hAnsi="Calisto MT"/>
          <w:sz w:val="24"/>
          <w:szCs w:val="24"/>
        </w:rPr>
        <w:t xml:space="preserve"> (Bai </w:t>
      </w:r>
      <w:r w:rsidR="00BF5D0E">
        <w:rPr>
          <w:rFonts w:ascii="Calisto MT" w:hAnsi="Calisto MT"/>
          <w:i/>
          <w:sz w:val="24"/>
          <w:szCs w:val="24"/>
        </w:rPr>
        <w:t xml:space="preserve">et al., </w:t>
      </w:r>
      <w:r w:rsidR="00BF5D0E">
        <w:rPr>
          <w:rFonts w:ascii="Calisto MT" w:hAnsi="Calisto MT"/>
          <w:sz w:val="24"/>
          <w:szCs w:val="24"/>
        </w:rPr>
        <w:t>2020)</w:t>
      </w:r>
      <w:r w:rsidRPr="009A395E">
        <w:rPr>
          <w:rFonts w:ascii="Calisto MT" w:hAnsi="Calisto MT"/>
          <w:sz w:val="24"/>
          <w:szCs w:val="24"/>
        </w:rPr>
        <w:t>. SARS-CoV-2 possesses the typical coronavirus structure with spike protein and also expressed other polyproteins, nucleoproteins, and membrane proteins, such as RNA polymerase, 3- chymotrypsin-like protease, papain-like protease, helicase, glycoprotein, and accessory proteins</w:t>
      </w:r>
      <w:r w:rsidR="00BF5D0E">
        <w:rPr>
          <w:rFonts w:ascii="Calisto MT" w:hAnsi="Calisto MT"/>
          <w:sz w:val="24"/>
          <w:szCs w:val="24"/>
        </w:rPr>
        <w:t xml:space="preserve"> (Shereen </w:t>
      </w:r>
      <w:r w:rsidR="00BF5D0E">
        <w:rPr>
          <w:rFonts w:ascii="Calisto MT" w:hAnsi="Calisto MT"/>
          <w:i/>
          <w:sz w:val="24"/>
          <w:szCs w:val="24"/>
        </w:rPr>
        <w:t xml:space="preserve">et al., </w:t>
      </w:r>
      <w:r w:rsidR="00BF5D0E">
        <w:rPr>
          <w:rFonts w:ascii="Calisto MT" w:hAnsi="Calisto MT"/>
          <w:sz w:val="24"/>
          <w:szCs w:val="24"/>
        </w:rPr>
        <w:t>2020)</w:t>
      </w:r>
      <w:r w:rsidRPr="009A395E">
        <w:rPr>
          <w:rFonts w:ascii="Calisto MT" w:hAnsi="Calisto MT"/>
          <w:sz w:val="24"/>
          <w:szCs w:val="24"/>
        </w:rPr>
        <w:t>. The spike protein of SARS-CoV-2 contains a 3-D structure in the RBD region to ma</w:t>
      </w:r>
      <w:r w:rsidR="00364F74">
        <w:rPr>
          <w:rFonts w:ascii="Calisto MT" w:hAnsi="Calisto MT"/>
          <w:sz w:val="24"/>
          <w:szCs w:val="24"/>
        </w:rPr>
        <w:t>intain the van der Waals forces</w:t>
      </w:r>
      <w:r w:rsidRPr="009A395E">
        <w:rPr>
          <w:rFonts w:ascii="Calisto MT" w:hAnsi="Calisto MT"/>
          <w:sz w:val="24"/>
          <w:szCs w:val="24"/>
        </w:rPr>
        <w:t>. The 394 glutamine residue in the RBD region of SARS-CoV-2 is recognized by the critical lysine 31 residue on the human ACE2 receptor</w:t>
      </w:r>
      <w:r w:rsidR="00BF5D0E">
        <w:rPr>
          <w:rFonts w:ascii="Calisto MT" w:hAnsi="Calisto MT"/>
          <w:sz w:val="24"/>
          <w:szCs w:val="24"/>
        </w:rPr>
        <w:t xml:space="preserve"> (Shereen </w:t>
      </w:r>
      <w:r w:rsidR="00BF5D0E">
        <w:rPr>
          <w:rFonts w:ascii="Calisto MT" w:hAnsi="Calisto MT"/>
          <w:i/>
          <w:sz w:val="24"/>
          <w:szCs w:val="24"/>
        </w:rPr>
        <w:t xml:space="preserve">et al., </w:t>
      </w:r>
      <w:r w:rsidR="00BF5D0E">
        <w:rPr>
          <w:rFonts w:ascii="Calisto MT" w:hAnsi="Calisto MT"/>
          <w:sz w:val="24"/>
          <w:szCs w:val="24"/>
        </w:rPr>
        <w:t>2020)</w:t>
      </w:r>
      <w:r w:rsidR="00364F74">
        <w:rPr>
          <w:rFonts w:ascii="Calisto MT" w:hAnsi="Calisto MT"/>
          <w:sz w:val="24"/>
          <w:szCs w:val="24"/>
        </w:rPr>
        <w:t>.</w:t>
      </w:r>
    </w:p>
    <w:p w:rsidR="00364F74" w:rsidRPr="00FA6728" w:rsidRDefault="00364F74" w:rsidP="00FA6728">
      <w:pPr>
        <w:spacing w:after="0" w:line="480" w:lineRule="auto"/>
        <w:ind w:firstLine="720"/>
        <w:jc w:val="both"/>
        <w:rPr>
          <w:rFonts w:ascii="Calisto MT" w:hAnsi="Calisto MT"/>
          <w:sz w:val="24"/>
          <w:szCs w:val="24"/>
        </w:rPr>
      </w:pPr>
      <w:r>
        <w:rPr>
          <w:noProof/>
        </w:rPr>
        <w:lastRenderedPageBreak/>
        <w:drawing>
          <wp:inline distT="0" distB="0" distL="0" distR="0" wp14:anchorId="7C294300" wp14:editId="27C909C9">
            <wp:extent cx="5200379" cy="406136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33675" cy="4087364"/>
                    </a:xfrm>
                    <a:prstGeom prst="rect">
                      <a:avLst/>
                    </a:prstGeom>
                  </pic:spPr>
                </pic:pic>
              </a:graphicData>
            </a:graphic>
          </wp:inline>
        </w:drawing>
      </w:r>
    </w:p>
    <w:p w:rsidR="007C5901" w:rsidRDefault="00364F74" w:rsidP="00364F74">
      <w:pPr>
        <w:spacing w:after="0" w:line="480" w:lineRule="auto"/>
        <w:jc w:val="both"/>
        <w:rPr>
          <w:rFonts w:ascii="Calisto MT" w:hAnsi="Calisto MT"/>
          <w:sz w:val="24"/>
          <w:szCs w:val="24"/>
        </w:rPr>
      </w:pPr>
      <w:r>
        <w:rPr>
          <w:rFonts w:ascii="Calisto MT" w:hAnsi="Calisto MT"/>
          <w:sz w:val="24"/>
          <w:szCs w:val="24"/>
        </w:rPr>
        <w:t xml:space="preserve">Figure 1.1: Aetiology of COVID-19 (Shereen </w:t>
      </w:r>
      <w:r>
        <w:rPr>
          <w:rFonts w:ascii="Calisto MT" w:hAnsi="Calisto MT"/>
          <w:i/>
          <w:sz w:val="24"/>
          <w:szCs w:val="24"/>
        </w:rPr>
        <w:t xml:space="preserve">et al., </w:t>
      </w:r>
      <w:r>
        <w:rPr>
          <w:rFonts w:ascii="Calisto MT" w:hAnsi="Calisto MT"/>
          <w:sz w:val="24"/>
          <w:szCs w:val="24"/>
        </w:rPr>
        <w:t>2020)</w:t>
      </w:r>
      <w:r w:rsidR="007C5901">
        <w:rPr>
          <w:rFonts w:ascii="Calisto MT" w:hAnsi="Calisto MT"/>
          <w:sz w:val="24"/>
          <w:szCs w:val="24"/>
        </w:rPr>
        <w:t>.</w:t>
      </w:r>
    </w:p>
    <w:p w:rsidR="005662C7" w:rsidRDefault="00C910BF" w:rsidP="00364F74">
      <w:pPr>
        <w:spacing w:after="0" w:line="480" w:lineRule="auto"/>
        <w:jc w:val="both"/>
        <w:rPr>
          <w:rFonts w:ascii="Calisto MT" w:hAnsi="Calisto MT"/>
          <w:b/>
          <w:sz w:val="24"/>
          <w:szCs w:val="24"/>
        </w:rPr>
      </w:pPr>
      <w:r>
        <w:rPr>
          <w:rFonts w:ascii="Calisto MT" w:hAnsi="Calisto MT"/>
          <w:b/>
          <w:sz w:val="24"/>
          <w:szCs w:val="24"/>
        </w:rPr>
        <w:t xml:space="preserve">1.3: </w:t>
      </w:r>
      <w:r w:rsidR="00D265C7">
        <w:rPr>
          <w:rFonts w:ascii="Calisto MT" w:hAnsi="Calisto MT"/>
          <w:b/>
          <w:sz w:val="24"/>
          <w:szCs w:val="24"/>
        </w:rPr>
        <w:t>Pathogenesis</w:t>
      </w:r>
      <w:r>
        <w:rPr>
          <w:rFonts w:ascii="Calisto MT" w:hAnsi="Calisto MT"/>
          <w:b/>
          <w:sz w:val="24"/>
          <w:szCs w:val="24"/>
        </w:rPr>
        <w:t xml:space="preserve"> of COVID-19</w:t>
      </w:r>
    </w:p>
    <w:p w:rsidR="00FA6728" w:rsidRDefault="00F45E30" w:rsidP="00CB5C01">
      <w:pPr>
        <w:spacing w:after="0" w:line="480" w:lineRule="auto"/>
        <w:ind w:firstLine="720"/>
        <w:jc w:val="both"/>
        <w:rPr>
          <w:rFonts w:ascii="Calisto MT" w:hAnsi="Calisto MT"/>
          <w:sz w:val="24"/>
          <w:szCs w:val="24"/>
        </w:rPr>
      </w:pPr>
      <w:r w:rsidRPr="00F45E30">
        <w:rPr>
          <w:rFonts w:ascii="Calisto MT" w:hAnsi="Calisto MT"/>
          <w:sz w:val="24"/>
          <w:szCs w:val="24"/>
        </w:rPr>
        <w:t>The severe symptoms of COVID-19 are associated with an increasing numbers and rate of fatalities especially in the epidemic region of China. On January 22, 2020, the China National Health Commission reported the details of the first 17</w:t>
      </w:r>
      <w:r w:rsidR="006673B2">
        <w:rPr>
          <w:rFonts w:ascii="Calisto MT" w:hAnsi="Calisto MT"/>
          <w:sz w:val="24"/>
          <w:szCs w:val="24"/>
        </w:rPr>
        <w:t xml:space="preserve"> deaths and on January 25, 2020</w:t>
      </w:r>
      <w:r w:rsidR="006E0172">
        <w:rPr>
          <w:rFonts w:ascii="Calisto MT" w:hAnsi="Calisto MT"/>
          <w:sz w:val="24"/>
          <w:szCs w:val="24"/>
        </w:rPr>
        <w:t xml:space="preserve"> to 56 deaths</w:t>
      </w:r>
      <w:r w:rsidR="00797A0D">
        <w:rPr>
          <w:rFonts w:ascii="Calisto MT" w:hAnsi="Calisto MT"/>
          <w:sz w:val="24"/>
          <w:szCs w:val="24"/>
        </w:rPr>
        <w:t xml:space="preserve"> (Rothan &amp; Byrareddy, 2020)</w:t>
      </w:r>
      <w:r w:rsidRPr="00F45E30">
        <w:rPr>
          <w:rFonts w:ascii="Calisto MT" w:hAnsi="Calisto MT"/>
          <w:sz w:val="24"/>
          <w:szCs w:val="24"/>
        </w:rPr>
        <w:t>. The percentage of death among the reported 2684 cases of COVID-19 was approximately 2.84% as of Jan 25, 2020 and the median age of the death</w:t>
      </w:r>
      <w:r w:rsidR="006E0172">
        <w:rPr>
          <w:rFonts w:ascii="Calisto MT" w:hAnsi="Calisto MT"/>
          <w:sz w:val="24"/>
          <w:szCs w:val="24"/>
        </w:rPr>
        <w:t>s was 75 (range 48–89) years</w:t>
      </w:r>
      <w:r w:rsidRPr="00F45E30">
        <w:rPr>
          <w:rFonts w:ascii="Calisto MT" w:hAnsi="Calisto MT"/>
          <w:sz w:val="24"/>
          <w:szCs w:val="24"/>
        </w:rPr>
        <w:t>. Patients infected with COVID-19 showed higher leukocyte numbers, abnormal respiratory findings, and increased levels of plasma pro-inflammatory cytokines</w:t>
      </w:r>
      <w:r w:rsidR="00797A0D">
        <w:rPr>
          <w:rFonts w:ascii="Calisto MT" w:hAnsi="Calisto MT"/>
          <w:sz w:val="24"/>
          <w:szCs w:val="24"/>
        </w:rPr>
        <w:t xml:space="preserve"> (Rothan &amp; Byrareddy, 2020)</w:t>
      </w:r>
      <w:r w:rsidRPr="00F45E30">
        <w:rPr>
          <w:rFonts w:ascii="Calisto MT" w:hAnsi="Calisto MT"/>
          <w:sz w:val="24"/>
          <w:szCs w:val="24"/>
        </w:rPr>
        <w:t xml:space="preserve">. One of the COVID-19 case reports showed a patient at 5 days of fever presented with a cough, coarse breathing sounds of both </w:t>
      </w:r>
      <w:r w:rsidRPr="00F45E30">
        <w:rPr>
          <w:rFonts w:ascii="Calisto MT" w:hAnsi="Calisto MT"/>
          <w:sz w:val="24"/>
          <w:szCs w:val="24"/>
        </w:rPr>
        <w:lastRenderedPageBreak/>
        <w:t>lungs, and a body temperature of 39.0 °C. The patient's sputum showed positive real-time polymerase chain reaction results that c</w:t>
      </w:r>
      <w:r w:rsidR="006E0172">
        <w:rPr>
          <w:rFonts w:ascii="Calisto MT" w:hAnsi="Calisto MT"/>
          <w:sz w:val="24"/>
          <w:szCs w:val="24"/>
        </w:rPr>
        <w:t>onfirmed COVID-19 infection</w:t>
      </w:r>
      <w:r w:rsidRPr="00F45E30">
        <w:rPr>
          <w:rFonts w:ascii="Calisto MT" w:hAnsi="Calisto MT"/>
          <w:sz w:val="24"/>
          <w:szCs w:val="24"/>
        </w:rPr>
        <w:t>. The laboratory studies showed leucopenia with leukocyte counts of 2.91 × 10^9 cells/L of which 70.0% were neutrophils</w:t>
      </w:r>
      <w:r w:rsidR="00797A0D">
        <w:rPr>
          <w:rFonts w:ascii="Calisto MT" w:hAnsi="Calisto MT"/>
          <w:sz w:val="24"/>
          <w:szCs w:val="24"/>
        </w:rPr>
        <w:t xml:space="preserve"> (Rothan &amp; Byrareddy, 2020)</w:t>
      </w:r>
      <w:r w:rsidRPr="00F45E30">
        <w:rPr>
          <w:rFonts w:ascii="Calisto MT" w:hAnsi="Calisto MT"/>
          <w:sz w:val="24"/>
          <w:szCs w:val="24"/>
        </w:rPr>
        <w:t>. Additionally, a value of 16.16 mg/L of blood C-reactive protein was noted which is above the normal range (0–10 mg/L). High erythrocyte sedimentation rate an</w:t>
      </w:r>
      <w:r w:rsidR="006E0172">
        <w:rPr>
          <w:rFonts w:ascii="Calisto MT" w:hAnsi="Calisto MT"/>
          <w:sz w:val="24"/>
          <w:szCs w:val="24"/>
        </w:rPr>
        <w:t>d D-dimer were also observed</w:t>
      </w:r>
      <w:r w:rsidRPr="00F45E30">
        <w:rPr>
          <w:rFonts w:ascii="Calisto MT" w:hAnsi="Calisto MT"/>
          <w:sz w:val="24"/>
          <w:szCs w:val="24"/>
        </w:rPr>
        <w:t>. The main pathogenesis of COVID-19 infection as a respiratory system targeting virus was severe p</w:t>
      </w:r>
      <w:r w:rsidR="001F1181">
        <w:rPr>
          <w:rFonts w:ascii="Calisto MT" w:hAnsi="Calisto MT"/>
          <w:sz w:val="24"/>
          <w:szCs w:val="24"/>
        </w:rPr>
        <w:t>neumonia</w:t>
      </w:r>
      <w:r w:rsidRPr="00F45E30">
        <w:rPr>
          <w:rFonts w:ascii="Calisto MT" w:hAnsi="Calisto MT"/>
          <w:sz w:val="24"/>
          <w:szCs w:val="24"/>
        </w:rPr>
        <w:t xml:space="preserve"> combined with the incidence of ground-glass opaciti</w:t>
      </w:r>
      <w:r w:rsidR="006E0172">
        <w:rPr>
          <w:rFonts w:ascii="Calisto MT" w:hAnsi="Calisto MT"/>
          <w:sz w:val="24"/>
          <w:szCs w:val="24"/>
        </w:rPr>
        <w:t>es, and acute cardiac injury</w:t>
      </w:r>
      <w:r w:rsidR="00797A0D">
        <w:rPr>
          <w:rFonts w:ascii="Calisto MT" w:hAnsi="Calisto MT"/>
          <w:sz w:val="24"/>
          <w:szCs w:val="24"/>
        </w:rPr>
        <w:t xml:space="preserve"> (Chen </w:t>
      </w:r>
      <w:r w:rsidR="00797A0D">
        <w:rPr>
          <w:rFonts w:ascii="Calisto MT" w:hAnsi="Calisto MT"/>
          <w:i/>
          <w:sz w:val="24"/>
          <w:szCs w:val="24"/>
        </w:rPr>
        <w:t xml:space="preserve">et al., </w:t>
      </w:r>
      <w:r w:rsidR="00797A0D">
        <w:rPr>
          <w:rFonts w:ascii="Calisto MT" w:hAnsi="Calisto MT"/>
          <w:sz w:val="24"/>
          <w:szCs w:val="24"/>
        </w:rPr>
        <w:t>2020)</w:t>
      </w:r>
      <w:r w:rsidRPr="00F45E30">
        <w:rPr>
          <w:rFonts w:ascii="Calisto MT" w:hAnsi="Calisto MT"/>
          <w:sz w:val="24"/>
          <w:szCs w:val="24"/>
        </w:rPr>
        <w:t>. Significantly high blood levels of cytokines and chemokines were noted in patients with COVID-19 infection that included</w:t>
      </w:r>
      <w:r w:rsidR="005E2B69">
        <w:rPr>
          <w:rFonts w:ascii="Calisto MT" w:hAnsi="Calisto MT"/>
          <w:sz w:val="24"/>
          <w:szCs w:val="24"/>
        </w:rPr>
        <w:t xml:space="preserve"> Interleukins</w:t>
      </w:r>
      <w:r w:rsidRPr="00F45E30">
        <w:rPr>
          <w:rFonts w:ascii="Calisto MT" w:hAnsi="Calisto MT"/>
          <w:sz w:val="24"/>
          <w:szCs w:val="24"/>
        </w:rPr>
        <w:t xml:space="preserve"> IL1-</w:t>
      </w:r>
      <w:r w:rsidRPr="00F45E30">
        <w:rPr>
          <w:rFonts w:ascii="Cambria" w:hAnsi="Cambria" w:cs="Cambria"/>
          <w:sz w:val="24"/>
          <w:szCs w:val="24"/>
        </w:rPr>
        <w:t>β</w:t>
      </w:r>
      <w:r w:rsidRPr="00F45E30">
        <w:rPr>
          <w:rFonts w:ascii="Calisto MT" w:hAnsi="Calisto MT"/>
          <w:sz w:val="24"/>
          <w:szCs w:val="24"/>
        </w:rPr>
        <w:t>, IL1RA, IL7, IL8, IL9, IL10, basic FGF2, GCSF, GMCSF, IFN</w:t>
      </w:r>
      <w:r w:rsidRPr="00F45E30">
        <w:rPr>
          <w:rFonts w:ascii="Cambria" w:hAnsi="Cambria" w:cs="Cambria"/>
          <w:sz w:val="24"/>
          <w:szCs w:val="24"/>
        </w:rPr>
        <w:t>γ</w:t>
      </w:r>
      <w:r w:rsidRPr="00F45E30">
        <w:rPr>
          <w:rFonts w:ascii="Calisto MT" w:hAnsi="Calisto MT"/>
          <w:sz w:val="24"/>
          <w:szCs w:val="24"/>
        </w:rPr>
        <w:t>, IP10, MCP1, MIP1</w:t>
      </w:r>
      <w:r w:rsidRPr="00F45E30">
        <w:rPr>
          <w:rFonts w:ascii="Cambria" w:hAnsi="Cambria" w:cs="Cambria"/>
          <w:sz w:val="24"/>
          <w:szCs w:val="24"/>
        </w:rPr>
        <w:t>α</w:t>
      </w:r>
      <w:r w:rsidRPr="00F45E30">
        <w:rPr>
          <w:rFonts w:ascii="Calisto MT" w:hAnsi="Calisto MT"/>
          <w:sz w:val="24"/>
          <w:szCs w:val="24"/>
        </w:rPr>
        <w:t>, MIP1</w:t>
      </w:r>
      <w:r w:rsidRPr="00F45E30">
        <w:rPr>
          <w:rFonts w:ascii="Cambria" w:hAnsi="Cambria" w:cs="Cambria"/>
          <w:sz w:val="24"/>
          <w:szCs w:val="24"/>
        </w:rPr>
        <w:t>β</w:t>
      </w:r>
      <w:r w:rsidRPr="00F45E30">
        <w:rPr>
          <w:rFonts w:ascii="Calisto MT" w:hAnsi="Calisto MT"/>
          <w:sz w:val="24"/>
          <w:szCs w:val="24"/>
        </w:rPr>
        <w:t>, PDGFB, TNF</w:t>
      </w:r>
      <w:r w:rsidRPr="00F45E30">
        <w:rPr>
          <w:rFonts w:ascii="Cambria" w:hAnsi="Cambria" w:cs="Cambria"/>
          <w:sz w:val="24"/>
          <w:szCs w:val="24"/>
        </w:rPr>
        <w:t>α</w:t>
      </w:r>
      <w:r w:rsidRPr="00F45E30">
        <w:rPr>
          <w:rFonts w:ascii="Calisto MT" w:hAnsi="Calisto MT"/>
          <w:sz w:val="24"/>
          <w:szCs w:val="24"/>
        </w:rPr>
        <w:t>, and VEGFA. Some of the severe cases that were admitted to the intensive care unit showed high levels of pro-inflammatory cytokines including IL2, IL7, IL10, GCSF, IP10, MCP1, MIP1</w:t>
      </w:r>
      <w:r w:rsidRPr="00F45E30">
        <w:rPr>
          <w:rFonts w:ascii="Cambria" w:hAnsi="Cambria" w:cs="Cambria"/>
          <w:sz w:val="24"/>
          <w:szCs w:val="24"/>
        </w:rPr>
        <w:t>α</w:t>
      </w:r>
      <w:r w:rsidRPr="00F45E30">
        <w:rPr>
          <w:rFonts w:ascii="Calisto MT" w:hAnsi="Calisto MT"/>
          <w:sz w:val="24"/>
          <w:szCs w:val="24"/>
        </w:rPr>
        <w:t>, and TNF</w:t>
      </w:r>
      <w:r w:rsidRPr="00F45E30">
        <w:rPr>
          <w:rFonts w:ascii="Cambria" w:hAnsi="Cambria" w:cs="Cambria"/>
          <w:sz w:val="24"/>
          <w:szCs w:val="24"/>
        </w:rPr>
        <w:t>α</w:t>
      </w:r>
      <w:r w:rsidRPr="00F45E30">
        <w:rPr>
          <w:rFonts w:ascii="Calisto MT" w:hAnsi="Calisto MT"/>
          <w:sz w:val="24"/>
          <w:szCs w:val="24"/>
        </w:rPr>
        <w:t xml:space="preserve"> that are reasoned to promote disease severity</w:t>
      </w:r>
      <w:r w:rsidR="00797A0D">
        <w:rPr>
          <w:rFonts w:ascii="Calisto MT" w:hAnsi="Calisto MT"/>
          <w:sz w:val="24"/>
          <w:szCs w:val="24"/>
        </w:rPr>
        <w:t xml:space="preserve"> (Chen </w:t>
      </w:r>
      <w:r w:rsidR="00797A0D">
        <w:rPr>
          <w:rFonts w:ascii="Calisto MT" w:hAnsi="Calisto MT"/>
          <w:i/>
          <w:sz w:val="24"/>
          <w:szCs w:val="24"/>
        </w:rPr>
        <w:t xml:space="preserve">et al., </w:t>
      </w:r>
      <w:r w:rsidR="00797A0D">
        <w:rPr>
          <w:rFonts w:ascii="Calisto MT" w:hAnsi="Calisto MT"/>
          <w:sz w:val="24"/>
          <w:szCs w:val="24"/>
        </w:rPr>
        <w:t>2020)</w:t>
      </w:r>
      <w:r w:rsidR="00743388">
        <w:rPr>
          <w:rFonts w:ascii="Calisto MT" w:hAnsi="Calisto MT"/>
          <w:sz w:val="24"/>
          <w:szCs w:val="24"/>
        </w:rPr>
        <w:t>.</w:t>
      </w:r>
      <w:r w:rsidR="006A6F5E">
        <w:rPr>
          <w:rFonts w:ascii="Calisto MT" w:hAnsi="Calisto MT"/>
          <w:sz w:val="24"/>
          <w:szCs w:val="24"/>
        </w:rPr>
        <w:t xml:space="preserve"> </w:t>
      </w:r>
    </w:p>
    <w:p w:rsidR="008F348D" w:rsidRDefault="008F348D" w:rsidP="00364F74">
      <w:pPr>
        <w:spacing w:after="0" w:line="480" w:lineRule="auto"/>
        <w:jc w:val="both"/>
        <w:rPr>
          <w:rFonts w:ascii="Calisto MT" w:hAnsi="Calisto MT"/>
          <w:b/>
          <w:sz w:val="24"/>
          <w:szCs w:val="24"/>
        </w:rPr>
      </w:pPr>
      <w:r>
        <w:rPr>
          <w:rFonts w:ascii="Calisto MT" w:hAnsi="Calisto MT"/>
          <w:b/>
          <w:sz w:val="24"/>
          <w:szCs w:val="24"/>
        </w:rPr>
        <w:t>1.4: Histopathological Features of COVID-19</w:t>
      </w:r>
    </w:p>
    <w:p w:rsidR="008F348D" w:rsidRPr="00F9165C" w:rsidRDefault="00F9165C" w:rsidP="00AD60BA">
      <w:pPr>
        <w:spacing w:after="0" w:line="480" w:lineRule="auto"/>
        <w:ind w:firstLine="720"/>
        <w:jc w:val="both"/>
        <w:rPr>
          <w:rFonts w:ascii="Calisto MT" w:hAnsi="Calisto MT"/>
          <w:sz w:val="24"/>
          <w:szCs w:val="24"/>
        </w:rPr>
      </w:pPr>
      <w:r w:rsidRPr="00F9165C">
        <w:rPr>
          <w:rFonts w:ascii="Calisto MT" w:hAnsi="Calisto MT"/>
          <w:sz w:val="24"/>
          <w:szCs w:val="24"/>
        </w:rPr>
        <w:t>The pathological features of COVID-19 greatly resemble those seen in SARS and Middle Eastern respiratory syndrome (</w:t>
      </w:r>
      <w:r w:rsidR="00214C71">
        <w:rPr>
          <w:rFonts w:ascii="Calisto MT" w:hAnsi="Calisto MT"/>
          <w:sz w:val="24"/>
          <w:szCs w:val="24"/>
        </w:rPr>
        <w:t>MERS) coronavirus infection.</w:t>
      </w:r>
      <w:r w:rsidRPr="00F9165C">
        <w:rPr>
          <w:rFonts w:ascii="Calisto MT" w:hAnsi="Calisto MT"/>
          <w:sz w:val="24"/>
          <w:szCs w:val="24"/>
        </w:rPr>
        <w:t xml:space="preserve"> In addition, the liver biopsy specimens of the patient with COVID-19 showed moderate </w:t>
      </w:r>
      <w:r w:rsidR="00725FFE" w:rsidRPr="00F9165C">
        <w:rPr>
          <w:rFonts w:ascii="Calisto MT" w:hAnsi="Calisto MT"/>
          <w:sz w:val="24"/>
          <w:szCs w:val="24"/>
        </w:rPr>
        <w:t>micro vesicular</w:t>
      </w:r>
      <w:r w:rsidRPr="00F9165C">
        <w:rPr>
          <w:rFonts w:ascii="Calisto MT" w:hAnsi="Calisto MT"/>
          <w:sz w:val="24"/>
          <w:szCs w:val="24"/>
        </w:rPr>
        <w:t xml:space="preserve"> steatosis and mild lobular</w:t>
      </w:r>
      <w:r w:rsidR="00214C71">
        <w:rPr>
          <w:rFonts w:ascii="Calisto MT" w:hAnsi="Calisto MT"/>
          <w:sz w:val="24"/>
          <w:szCs w:val="24"/>
        </w:rPr>
        <w:t xml:space="preserve"> and portal activity</w:t>
      </w:r>
      <w:r w:rsidRPr="00F9165C">
        <w:rPr>
          <w:rFonts w:ascii="Calisto MT" w:hAnsi="Calisto MT"/>
          <w:sz w:val="24"/>
          <w:szCs w:val="24"/>
        </w:rPr>
        <w:t>, indicating the injury could have been caused by either SARS-CoV-2 infection or drug-induced liver injury</w:t>
      </w:r>
      <w:r w:rsidR="00DA1C44">
        <w:rPr>
          <w:rFonts w:ascii="Calisto MT" w:hAnsi="Calisto MT"/>
          <w:sz w:val="24"/>
          <w:szCs w:val="24"/>
        </w:rPr>
        <w:t xml:space="preserve"> (Gao </w:t>
      </w:r>
      <w:r w:rsidR="00DA1C44">
        <w:rPr>
          <w:rFonts w:ascii="Calisto MT" w:hAnsi="Calisto MT"/>
          <w:i/>
          <w:sz w:val="24"/>
          <w:szCs w:val="24"/>
        </w:rPr>
        <w:t xml:space="preserve">et al., </w:t>
      </w:r>
      <w:r w:rsidR="00DA1C44">
        <w:rPr>
          <w:rFonts w:ascii="Calisto MT" w:hAnsi="Calisto MT"/>
          <w:sz w:val="24"/>
          <w:szCs w:val="24"/>
        </w:rPr>
        <w:t>2020)</w:t>
      </w:r>
      <w:r w:rsidRPr="00F9165C">
        <w:rPr>
          <w:rFonts w:ascii="Calisto MT" w:hAnsi="Calisto MT"/>
          <w:sz w:val="24"/>
          <w:szCs w:val="24"/>
        </w:rPr>
        <w:t>. There were a few interstitial mononuclear inflammatory infiltrates, but no other substantial damag</w:t>
      </w:r>
      <w:r w:rsidR="00214C71">
        <w:rPr>
          <w:rFonts w:ascii="Calisto MT" w:hAnsi="Calisto MT"/>
          <w:sz w:val="24"/>
          <w:szCs w:val="24"/>
        </w:rPr>
        <w:t>e in the heart tissue</w:t>
      </w:r>
      <w:r w:rsidRPr="00F9165C">
        <w:rPr>
          <w:rFonts w:ascii="Calisto MT" w:hAnsi="Calisto MT"/>
          <w:sz w:val="24"/>
          <w:szCs w:val="24"/>
        </w:rPr>
        <w:t xml:space="preserve">. Peripheral blood was prepared for flow </w:t>
      </w:r>
      <w:r w:rsidR="00725FFE" w:rsidRPr="00F9165C">
        <w:rPr>
          <w:rFonts w:ascii="Calisto MT" w:hAnsi="Calisto MT"/>
          <w:sz w:val="24"/>
          <w:szCs w:val="24"/>
        </w:rPr>
        <w:t>cytometry</w:t>
      </w:r>
      <w:r w:rsidRPr="00F9165C">
        <w:rPr>
          <w:rFonts w:ascii="Calisto MT" w:hAnsi="Calisto MT"/>
          <w:sz w:val="24"/>
          <w:szCs w:val="24"/>
        </w:rPr>
        <w:t xml:space="preserve"> analysis. We found that the counts of peripheral CD4 and CD8 T cells were substantially reduced, while their status was </w:t>
      </w:r>
      <w:r w:rsidR="00725FFE" w:rsidRPr="00F9165C">
        <w:rPr>
          <w:rFonts w:ascii="Calisto MT" w:hAnsi="Calisto MT"/>
          <w:sz w:val="24"/>
          <w:szCs w:val="24"/>
        </w:rPr>
        <w:t xml:space="preserve">hyper </w:t>
      </w:r>
      <w:r w:rsidR="00725FFE" w:rsidRPr="00F9165C">
        <w:rPr>
          <w:rFonts w:ascii="Calisto MT" w:hAnsi="Calisto MT"/>
          <w:sz w:val="24"/>
          <w:szCs w:val="24"/>
        </w:rPr>
        <w:lastRenderedPageBreak/>
        <w:t>activated</w:t>
      </w:r>
      <w:r w:rsidRPr="00F9165C">
        <w:rPr>
          <w:rFonts w:ascii="Calisto MT" w:hAnsi="Calisto MT"/>
          <w:sz w:val="24"/>
          <w:szCs w:val="24"/>
        </w:rPr>
        <w:t>, as evidenced by the high proportions of HLA-DR (CD4 3</w:t>
      </w:r>
      <w:r w:rsidRPr="00F9165C">
        <w:rPr>
          <w:rFonts w:ascii="Cambria" w:hAnsi="Cambria" w:cs="Cambria"/>
          <w:sz w:val="24"/>
          <w:szCs w:val="24"/>
        </w:rPr>
        <w:t>·</w:t>
      </w:r>
      <w:r w:rsidRPr="00F9165C">
        <w:rPr>
          <w:rFonts w:ascii="Calisto MT" w:hAnsi="Calisto MT"/>
          <w:sz w:val="24"/>
          <w:szCs w:val="24"/>
        </w:rPr>
        <w:t>47%) and CD38 (CD8 39</w:t>
      </w:r>
      <w:r w:rsidRPr="00F9165C">
        <w:rPr>
          <w:rFonts w:ascii="Cambria" w:hAnsi="Cambria" w:cs="Cambria"/>
          <w:sz w:val="24"/>
          <w:szCs w:val="24"/>
        </w:rPr>
        <w:t>·</w:t>
      </w:r>
      <w:r w:rsidRPr="00F9165C">
        <w:rPr>
          <w:rFonts w:ascii="Calisto MT" w:hAnsi="Calisto MT"/>
          <w:sz w:val="24"/>
          <w:szCs w:val="24"/>
        </w:rPr>
        <w:t xml:space="preserve">4%) double-positive </w:t>
      </w:r>
      <w:r w:rsidR="00214C71">
        <w:rPr>
          <w:rFonts w:ascii="Calisto MT" w:hAnsi="Calisto MT"/>
          <w:sz w:val="24"/>
          <w:szCs w:val="24"/>
        </w:rPr>
        <w:t>fractions</w:t>
      </w:r>
      <w:r w:rsidR="00DA1C44">
        <w:rPr>
          <w:rFonts w:ascii="Calisto MT" w:hAnsi="Calisto MT"/>
          <w:sz w:val="24"/>
          <w:szCs w:val="24"/>
        </w:rPr>
        <w:t xml:space="preserve"> (Gao </w:t>
      </w:r>
      <w:r w:rsidR="00DA1C44">
        <w:rPr>
          <w:rFonts w:ascii="Calisto MT" w:hAnsi="Calisto MT"/>
          <w:i/>
          <w:sz w:val="24"/>
          <w:szCs w:val="24"/>
        </w:rPr>
        <w:t xml:space="preserve">et al., </w:t>
      </w:r>
      <w:r w:rsidR="00DA1C44">
        <w:rPr>
          <w:rFonts w:ascii="Calisto MT" w:hAnsi="Calisto MT"/>
          <w:sz w:val="24"/>
          <w:szCs w:val="24"/>
        </w:rPr>
        <w:t>2020)</w:t>
      </w:r>
      <w:r w:rsidRPr="00F9165C">
        <w:rPr>
          <w:rFonts w:ascii="Calisto MT" w:hAnsi="Calisto MT"/>
          <w:sz w:val="24"/>
          <w:szCs w:val="24"/>
        </w:rPr>
        <w:t>. Moreover, there was an increased concentration of highly proinflammatory CCR6+ Th17 in CD4 T cells</w:t>
      </w:r>
      <w:r>
        <w:rPr>
          <w:rFonts w:ascii="Calisto MT" w:hAnsi="Calisto MT"/>
          <w:sz w:val="24"/>
          <w:szCs w:val="24"/>
        </w:rPr>
        <w:t xml:space="preserve">. </w:t>
      </w:r>
      <w:r w:rsidRPr="00F9165C">
        <w:rPr>
          <w:rFonts w:ascii="Calisto MT" w:hAnsi="Calisto MT"/>
          <w:sz w:val="24"/>
          <w:szCs w:val="24"/>
        </w:rPr>
        <w:t xml:space="preserve">Additionally, CD8 T cells were found to </w:t>
      </w:r>
      <w:r w:rsidR="00725FFE" w:rsidRPr="00F9165C">
        <w:rPr>
          <w:rFonts w:ascii="Calisto MT" w:hAnsi="Calisto MT"/>
          <w:sz w:val="24"/>
          <w:szCs w:val="24"/>
        </w:rPr>
        <w:t>harbor</w:t>
      </w:r>
      <w:r w:rsidRPr="00F9165C">
        <w:rPr>
          <w:rFonts w:ascii="Calisto MT" w:hAnsi="Calisto MT"/>
          <w:sz w:val="24"/>
          <w:szCs w:val="24"/>
        </w:rPr>
        <w:t xml:space="preserve"> high concentrations of cytotoxic granules, in which 31</w:t>
      </w:r>
      <w:r w:rsidRPr="00F9165C">
        <w:rPr>
          <w:rFonts w:ascii="Cambria" w:hAnsi="Cambria" w:cs="Cambria"/>
          <w:sz w:val="24"/>
          <w:szCs w:val="24"/>
        </w:rPr>
        <w:t>·</w:t>
      </w:r>
      <w:r w:rsidRPr="00F9165C">
        <w:rPr>
          <w:rFonts w:ascii="Calisto MT" w:hAnsi="Calisto MT"/>
          <w:sz w:val="24"/>
          <w:szCs w:val="24"/>
        </w:rPr>
        <w:t xml:space="preserve">6% cells were </w:t>
      </w:r>
      <w:r w:rsidR="00725FFE" w:rsidRPr="00F9165C">
        <w:rPr>
          <w:rFonts w:ascii="Calisto MT" w:hAnsi="Calisto MT"/>
          <w:sz w:val="24"/>
          <w:szCs w:val="24"/>
        </w:rPr>
        <w:t>performing</w:t>
      </w:r>
      <w:r w:rsidRPr="00F9165C">
        <w:rPr>
          <w:rFonts w:ascii="Calisto MT" w:hAnsi="Calisto MT"/>
          <w:sz w:val="24"/>
          <w:szCs w:val="24"/>
        </w:rPr>
        <w:t xml:space="preserve"> positive, 64</w:t>
      </w:r>
      <w:r w:rsidRPr="00F9165C">
        <w:rPr>
          <w:rFonts w:ascii="Cambria" w:hAnsi="Cambria" w:cs="Cambria"/>
          <w:sz w:val="24"/>
          <w:szCs w:val="24"/>
        </w:rPr>
        <w:t>·</w:t>
      </w:r>
      <w:r w:rsidRPr="00F9165C">
        <w:rPr>
          <w:rFonts w:ascii="Calisto MT" w:hAnsi="Calisto MT"/>
          <w:sz w:val="24"/>
          <w:szCs w:val="24"/>
        </w:rPr>
        <w:t>2% cells were granulysin positive, and 30</w:t>
      </w:r>
      <w:r w:rsidRPr="00F9165C">
        <w:rPr>
          <w:rFonts w:ascii="Cambria" w:hAnsi="Cambria" w:cs="Cambria"/>
          <w:sz w:val="24"/>
          <w:szCs w:val="24"/>
        </w:rPr>
        <w:t>·</w:t>
      </w:r>
      <w:r w:rsidRPr="00F9165C">
        <w:rPr>
          <w:rFonts w:ascii="Calisto MT" w:hAnsi="Calisto MT"/>
          <w:sz w:val="24"/>
          <w:szCs w:val="24"/>
        </w:rPr>
        <w:t xml:space="preserve">5% cells were granulysin and </w:t>
      </w:r>
      <w:r w:rsidR="00725FFE" w:rsidRPr="00F9165C">
        <w:rPr>
          <w:rFonts w:ascii="Calisto MT" w:hAnsi="Calisto MT"/>
          <w:sz w:val="24"/>
          <w:szCs w:val="24"/>
        </w:rPr>
        <w:t>perform</w:t>
      </w:r>
      <w:r w:rsidR="00725FFE">
        <w:rPr>
          <w:rFonts w:ascii="Calisto MT" w:hAnsi="Calisto MT"/>
          <w:sz w:val="24"/>
          <w:szCs w:val="24"/>
        </w:rPr>
        <w:t>ing</w:t>
      </w:r>
      <w:r w:rsidR="00980825">
        <w:rPr>
          <w:rFonts w:ascii="Calisto MT" w:hAnsi="Calisto MT"/>
          <w:sz w:val="24"/>
          <w:szCs w:val="24"/>
        </w:rPr>
        <w:t xml:space="preserve"> double-positive</w:t>
      </w:r>
      <w:r w:rsidR="00DA1C44">
        <w:rPr>
          <w:rFonts w:ascii="Calisto MT" w:hAnsi="Calisto MT"/>
          <w:sz w:val="24"/>
          <w:szCs w:val="24"/>
        </w:rPr>
        <w:t xml:space="preserve"> (Gao </w:t>
      </w:r>
      <w:r w:rsidR="00DA1C44">
        <w:rPr>
          <w:rFonts w:ascii="Calisto MT" w:hAnsi="Calisto MT"/>
          <w:i/>
          <w:sz w:val="24"/>
          <w:szCs w:val="24"/>
        </w:rPr>
        <w:t xml:space="preserve">et al., </w:t>
      </w:r>
      <w:r w:rsidR="00DA1C44">
        <w:rPr>
          <w:rFonts w:ascii="Calisto MT" w:hAnsi="Calisto MT"/>
          <w:sz w:val="24"/>
          <w:szCs w:val="24"/>
        </w:rPr>
        <w:t>2020)</w:t>
      </w:r>
      <w:r w:rsidR="008D3D3F">
        <w:rPr>
          <w:rFonts w:ascii="Calisto MT" w:hAnsi="Calisto MT"/>
          <w:sz w:val="24"/>
          <w:szCs w:val="24"/>
        </w:rPr>
        <w:t>. T</w:t>
      </w:r>
      <w:bookmarkStart w:id="0" w:name="_GoBack"/>
      <w:bookmarkEnd w:id="0"/>
      <w:r w:rsidR="008D3D3F">
        <w:rPr>
          <w:rFonts w:ascii="Calisto MT" w:hAnsi="Calisto MT"/>
          <w:sz w:val="24"/>
          <w:szCs w:val="24"/>
        </w:rPr>
        <w:t>est</w:t>
      </w:r>
      <w:r w:rsidRPr="00F9165C">
        <w:rPr>
          <w:rFonts w:ascii="Calisto MT" w:hAnsi="Calisto MT"/>
          <w:sz w:val="24"/>
          <w:szCs w:val="24"/>
        </w:rPr>
        <w:t xml:space="preserve"> results imply that over</w:t>
      </w:r>
      <w:r>
        <w:rPr>
          <w:rFonts w:ascii="Calisto MT" w:hAnsi="Calisto MT"/>
          <w:sz w:val="24"/>
          <w:szCs w:val="24"/>
        </w:rPr>
        <w:t>-</w:t>
      </w:r>
      <w:r w:rsidRPr="00F9165C">
        <w:rPr>
          <w:rFonts w:ascii="Calisto MT" w:hAnsi="Calisto MT"/>
          <w:sz w:val="24"/>
          <w:szCs w:val="24"/>
        </w:rPr>
        <w:t>activation of T cells, manifested by increase of Th17 and high cytotoxicity of CD8 T cells, accounts for, in part, the severe immune injury in this patient. X-ray images showed rapid progression of pneumonia and some differences between the left and right lung</w:t>
      </w:r>
      <w:r w:rsidR="00DA1C44">
        <w:rPr>
          <w:rFonts w:ascii="Calisto MT" w:hAnsi="Calisto MT"/>
          <w:sz w:val="24"/>
          <w:szCs w:val="24"/>
        </w:rPr>
        <w:t xml:space="preserve"> (Gao </w:t>
      </w:r>
      <w:r w:rsidR="00DA1C44">
        <w:rPr>
          <w:rFonts w:ascii="Calisto MT" w:hAnsi="Calisto MT"/>
          <w:i/>
          <w:sz w:val="24"/>
          <w:szCs w:val="24"/>
        </w:rPr>
        <w:t xml:space="preserve">et al., </w:t>
      </w:r>
      <w:r w:rsidR="00DA1C44">
        <w:rPr>
          <w:rFonts w:ascii="Calisto MT" w:hAnsi="Calisto MT"/>
          <w:sz w:val="24"/>
          <w:szCs w:val="24"/>
        </w:rPr>
        <w:t>2020)</w:t>
      </w:r>
      <w:r w:rsidRPr="00F9165C">
        <w:rPr>
          <w:rFonts w:ascii="Calisto MT" w:hAnsi="Calisto MT"/>
          <w:sz w:val="24"/>
          <w:szCs w:val="24"/>
        </w:rPr>
        <w:t xml:space="preserve">. In addition, the liver tissue showed moderate </w:t>
      </w:r>
      <w:r w:rsidR="00725FFE" w:rsidRPr="00F9165C">
        <w:rPr>
          <w:rFonts w:ascii="Calisto MT" w:hAnsi="Calisto MT"/>
          <w:sz w:val="24"/>
          <w:szCs w:val="24"/>
        </w:rPr>
        <w:t>micro vesicular</w:t>
      </w:r>
      <w:r w:rsidRPr="00F9165C">
        <w:rPr>
          <w:rFonts w:ascii="Calisto MT" w:hAnsi="Calisto MT"/>
          <w:sz w:val="24"/>
          <w:szCs w:val="24"/>
        </w:rPr>
        <w:t xml:space="preserve"> steatosis and mild lobular activity, but there was no conclusive evidence to support SARS-CoV-2 infection or drug-induced liver injury as the cause</w:t>
      </w:r>
      <w:r w:rsidR="00DA1C44">
        <w:rPr>
          <w:rFonts w:ascii="Calisto MT" w:hAnsi="Calisto MT"/>
          <w:sz w:val="24"/>
          <w:szCs w:val="24"/>
        </w:rPr>
        <w:t xml:space="preserve"> (Gao </w:t>
      </w:r>
      <w:r w:rsidR="00DA1C44">
        <w:rPr>
          <w:rFonts w:ascii="Calisto MT" w:hAnsi="Calisto MT"/>
          <w:i/>
          <w:sz w:val="24"/>
          <w:szCs w:val="24"/>
        </w:rPr>
        <w:t xml:space="preserve">et al., </w:t>
      </w:r>
      <w:r w:rsidR="00DA1C44">
        <w:rPr>
          <w:rFonts w:ascii="Calisto MT" w:hAnsi="Calisto MT"/>
          <w:sz w:val="24"/>
          <w:szCs w:val="24"/>
        </w:rPr>
        <w:t>2020)</w:t>
      </w:r>
      <w:r w:rsidRPr="00F9165C">
        <w:rPr>
          <w:rFonts w:ascii="Calisto MT" w:hAnsi="Calisto MT"/>
          <w:sz w:val="24"/>
          <w:szCs w:val="24"/>
        </w:rPr>
        <w:t>.</w:t>
      </w:r>
    </w:p>
    <w:p w:rsidR="00364F74" w:rsidRDefault="009223B9" w:rsidP="00364F74">
      <w:pPr>
        <w:spacing w:after="0" w:line="480" w:lineRule="auto"/>
        <w:jc w:val="both"/>
        <w:rPr>
          <w:rFonts w:ascii="Calisto MT" w:hAnsi="Calisto MT"/>
          <w:b/>
          <w:sz w:val="24"/>
          <w:szCs w:val="24"/>
        </w:rPr>
      </w:pPr>
      <w:r>
        <w:rPr>
          <w:rFonts w:ascii="Calisto MT" w:hAnsi="Calisto MT"/>
          <w:b/>
          <w:sz w:val="24"/>
          <w:szCs w:val="24"/>
        </w:rPr>
        <w:t>1.5: Symptoms of COVID-19</w:t>
      </w:r>
    </w:p>
    <w:p w:rsidR="009223B9" w:rsidRDefault="00EB6648" w:rsidP="005477AE">
      <w:pPr>
        <w:spacing w:after="0" w:line="480" w:lineRule="auto"/>
        <w:ind w:firstLine="720"/>
        <w:jc w:val="both"/>
        <w:rPr>
          <w:rFonts w:ascii="Calisto MT" w:hAnsi="Calisto MT"/>
          <w:sz w:val="24"/>
          <w:szCs w:val="24"/>
        </w:rPr>
      </w:pPr>
      <w:r w:rsidRPr="00EB6648">
        <w:rPr>
          <w:rFonts w:ascii="Calisto MT" w:hAnsi="Calisto MT"/>
          <w:sz w:val="24"/>
          <w:szCs w:val="24"/>
        </w:rPr>
        <w:t>The symptoms of COVID-19 infection appear after an incubation perio</w:t>
      </w:r>
      <w:r w:rsidR="00B64975">
        <w:rPr>
          <w:rFonts w:ascii="Calisto MT" w:hAnsi="Calisto MT"/>
          <w:sz w:val="24"/>
          <w:szCs w:val="24"/>
        </w:rPr>
        <w:t>d of approximately 5.2 days</w:t>
      </w:r>
      <w:r w:rsidRPr="00EB6648">
        <w:rPr>
          <w:rFonts w:ascii="Calisto MT" w:hAnsi="Calisto MT"/>
          <w:sz w:val="24"/>
          <w:szCs w:val="24"/>
        </w:rPr>
        <w:t xml:space="preserve">. The period from the onset of COVID-19 symptoms to death ranged from 6 to 41 </w:t>
      </w:r>
      <w:r w:rsidR="00B64975">
        <w:rPr>
          <w:rFonts w:ascii="Calisto MT" w:hAnsi="Calisto MT"/>
          <w:sz w:val="24"/>
          <w:szCs w:val="24"/>
        </w:rPr>
        <w:t>days with a median of 14 days</w:t>
      </w:r>
      <w:r w:rsidRPr="00EB6648">
        <w:rPr>
          <w:rFonts w:ascii="Calisto MT" w:hAnsi="Calisto MT"/>
          <w:sz w:val="24"/>
          <w:szCs w:val="24"/>
        </w:rPr>
        <w:t>. This period is dependent on the age of the patient and status of the patient's immune system</w:t>
      </w:r>
      <w:r w:rsidR="00C45503">
        <w:rPr>
          <w:rFonts w:ascii="Calisto MT" w:hAnsi="Calisto MT"/>
          <w:sz w:val="24"/>
          <w:szCs w:val="24"/>
        </w:rPr>
        <w:t xml:space="preserve"> (Lupia </w:t>
      </w:r>
      <w:r w:rsidR="00C45503">
        <w:rPr>
          <w:rFonts w:ascii="Calisto MT" w:hAnsi="Calisto MT"/>
          <w:i/>
          <w:sz w:val="24"/>
          <w:szCs w:val="24"/>
        </w:rPr>
        <w:t xml:space="preserve">et al., </w:t>
      </w:r>
      <w:r w:rsidR="00C45503">
        <w:rPr>
          <w:rFonts w:ascii="Calisto MT" w:hAnsi="Calisto MT"/>
          <w:sz w:val="24"/>
          <w:szCs w:val="24"/>
        </w:rPr>
        <w:t>2020)</w:t>
      </w:r>
      <w:r w:rsidRPr="00EB6648">
        <w:rPr>
          <w:rFonts w:ascii="Calisto MT" w:hAnsi="Calisto MT"/>
          <w:sz w:val="24"/>
          <w:szCs w:val="24"/>
        </w:rPr>
        <w:t xml:space="preserve">. It was shorter among patients </w:t>
      </w:r>
      <w:r w:rsidR="00F4748C">
        <w:rPr>
          <w:rFonts w:ascii="Calisto MT" w:hAnsi="Calisto MT"/>
          <w:sz w:val="24"/>
          <w:szCs w:val="24"/>
        </w:rPr>
        <w:t xml:space="preserve">over </w:t>
      </w:r>
      <w:r w:rsidRPr="00EB6648">
        <w:rPr>
          <w:rFonts w:ascii="Calisto MT" w:hAnsi="Calisto MT"/>
          <w:sz w:val="24"/>
          <w:szCs w:val="24"/>
        </w:rPr>
        <w:t>70-years old compared w</w:t>
      </w:r>
      <w:r w:rsidR="00B64975">
        <w:rPr>
          <w:rFonts w:ascii="Calisto MT" w:hAnsi="Calisto MT"/>
          <w:sz w:val="24"/>
          <w:szCs w:val="24"/>
        </w:rPr>
        <w:t>ith those under the age of 70</w:t>
      </w:r>
      <w:r w:rsidRPr="00EB6648">
        <w:rPr>
          <w:rFonts w:ascii="Calisto MT" w:hAnsi="Calisto MT"/>
          <w:sz w:val="24"/>
          <w:szCs w:val="24"/>
        </w:rPr>
        <w:t xml:space="preserve">. The most common symptoms at onset of COVID-19 illness are fever, cough, and fatigue, while other symptoms include sputum production, headache, </w:t>
      </w:r>
      <w:r w:rsidR="00725FFE" w:rsidRPr="00EB6648">
        <w:rPr>
          <w:rFonts w:ascii="Calisto MT" w:hAnsi="Calisto MT"/>
          <w:sz w:val="24"/>
          <w:szCs w:val="24"/>
        </w:rPr>
        <w:t>hemoptysis</w:t>
      </w:r>
      <w:r w:rsidRPr="00EB6648">
        <w:rPr>
          <w:rFonts w:ascii="Calisto MT" w:hAnsi="Calisto MT"/>
          <w:sz w:val="24"/>
          <w:szCs w:val="24"/>
        </w:rPr>
        <w:t xml:space="preserve">, </w:t>
      </w:r>
      <w:r w:rsidR="00725FFE" w:rsidRPr="00EB6648">
        <w:rPr>
          <w:rFonts w:ascii="Calisto MT" w:hAnsi="Calisto MT"/>
          <w:sz w:val="24"/>
          <w:szCs w:val="24"/>
        </w:rPr>
        <w:t>diarrhea</w:t>
      </w:r>
      <w:r w:rsidRPr="00EB6648">
        <w:rPr>
          <w:rFonts w:ascii="Calisto MT" w:hAnsi="Calisto MT"/>
          <w:sz w:val="24"/>
          <w:szCs w:val="24"/>
        </w:rPr>
        <w:t xml:space="preserve">, </w:t>
      </w:r>
      <w:r w:rsidR="00725FFE" w:rsidRPr="00EB6648">
        <w:rPr>
          <w:rFonts w:ascii="Calisto MT" w:hAnsi="Calisto MT"/>
          <w:sz w:val="24"/>
          <w:szCs w:val="24"/>
        </w:rPr>
        <w:t>dys</w:t>
      </w:r>
      <w:r w:rsidR="00725FFE">
        <w:rPr>
          <w:rFonts w:ascii="Calisto MT" w:hAnsi="Calisto MT"/>
          <w:sz w:val="24"/>
          <w:szCs w:val="24"/>
        </w:rPr>
        <w:t>pnea</w:t>
      </w:r>
      <w:r w:rsidR="00B06312">
        <w:rPr>
          <w:rFonts w:ascii="Calisto MT" w:hAnsi="Calisto MT"/>
          <w:sz w:val="24"/>
          <w:szCs w:val="24"/>
        </w:rPr>
        <w:t>, and lymphopenia</w:t>
      </w:r>
      <w:r w:rsidRPr="00EB6648">
        <w:rPr>
          <w:rFonts w:ascii="Calisto MT" w:hAnsi="Calisto MT"/>
          <w:sz w:val="24"/>
          <w:szCs w:val="24"/>
        </w:rPr>
        <w:t>. Clinical features revealed by a chest CT scan presented as pneumonia, however, there were abnormal features such as RNAaemia, acute respiratory distress syndrome, acute cardiac injury, and incidence of grand-glass o</w:t>
      </w:r>
      <w:r w:rsidR="00B06312">
        <w:rPr>
          <w:rFonts w:ascii="Calisto MT" w:hAnsi="Calisto MT"/>
          <w:sz w:val="24"/>
          <w:szCs w:val="24"/>
        </w:rPr>
        <w:t>pacities that led to death</w:t>
      </w:r>
      <w:r w:rsidRPr="00EB6648">
        <w:rPr>
          <w:rFonts w:ascii="Calisto MT" w:hAnsi="Calisto MT"/>
          <w:sz w:val="24"/>
          <w:szCs w:val="24"/>
        </w:rPr>
        <w:t xml:space="preserve">. In some cases, the multiple peripheral </w:t>
      </w:r>
      <w:r w:rsidRPr="00EB6648">
        <w:rPr>
          <w:rFonts w:ascii="Calisto MT" w:hAnsi="Calisto MT"/>
          <w:sz w:val="24"/>
          <w:szCs w:val="24"/>
        </w:rPr>
        <w:lastRenderedPageBreak/>
        <w:t xml:space="preserve">ground-glass opacities were observed in </w:t>
      </w:r>
      <w:r w:rsidR="00725FFE" w:rsidRPr="00EB6648">
        <w:rPr>
          <w:rFonts w:ascii="Calisto MT" w:hAnsi="Calisto MT"/>
          <w:sz w:val="24"/>
          <w:szCs w:val="24"/>
        </w:rPr>
        <w:t>sub p</w:t>
      </w:r>
      <w:r w:rsidR="00725FFE">
        <w:rPr>
          <w:rFonts w:ascii="Calisto MT" w:hAnsi="Calisto MT"/>
          <w:sz w:val="24"/>
          <w:szCs w:val="24"/>
        </w:rPr>
        <w:t>leural</w:t>
      </w:r>
      <w:r w:rsidR="00B06312">
        <w:rPr>
          <w:rFonts w:ascii="Calisto MT" w:hAnsi="Calisto MT"/>
          <w:sz w:val="24"/>
          <w:szCs w:val="24"/>
        </w:rPr>
        <w:t xml:space="preserve"> regions of both lungs</w:t>
      </w:r>
      <w:r w:rsidRPr="00EB6648">
        <w:rPr>
          <w:rFonts w:ascii="Calisto MT" w:hAnsi="Calisto MT"/>
          <w:sz w:val="24"/>
          <w:szCs w:val="24"/>
        </w:rPr>
        <w:t xml:space="preserve"> that likely induced both systemic and localized immune response that led to increased inflammation</w:t>
      </w:r>
      <w:r w:rsidR="00C45503">
        <w:rPr>
          <w:rFonts w:ascii="Calisto MT" w:hAnsi="Calisto MT"/>
          <w:sz w:val="24"/>
          <w:szCs w:val="24"/>
        </w:rPr>
        <w:t xml:space="preserve"> (Lupia </w:t>
      </w:r>
      <w:r w:rsidR="00C45503">
        <w:rPr>
          <w:rFonts w:ascii="Calisto MT" w:hAnsi="Calisto MT"/>
          <w:i/>
          <w:sz w:val="24"/>
          <w:szCs w:val="24"/>
        </w:rPr>
        <w:t xml:space="preserve">et al., </w:t>
      </w:r>
      <w:r w:rsidR="00C45503">
        <w:rPr>
          <w:rFonts w:ascii="Calisto MT" w:hAnsi="Calisto MT"/>
          <w:sz w:val="24"/>
          <w:szCs w:val="24"/>
        </w:rPr>
        <w:t>2020)</w:t>
      </w:r>
      <w:r w:rsidRPr="00EB6648">
        <w:rPr>
          <w:rFonts w:ascii="Calisto MT" w:hAnsi="Calisto MT"/>
          <w:sz w:val="24"/>
          <w:szCs w:val="24"/>
        </w:rPr>
        <w:t>. Regrettably, treatment of some cases with interferon inhalation showed no clinical effect and instead appeared to worsen the condition by progressing p</w:t>
      </w:r>
      <w:r w:rsidR="00B06312">
        <w:rPr>
          <w:rFonts w:ascii="Calisto MT" w:hAnsi="Calisto MT"/>
          <w:sz w:val="24"/>
          <w:szCs w:val="24"/>
        </w:rPr>
        <w:t>ulmonary opacities</w:t>
      </w:r>
      <w:r w:rsidRPr="00EB6648">
        <w:rPr>
          <w:rFonts w:ascii="Calisto MT" w:hAnsi="Calisto MT"/>
          <w:sz w:val="24"/>
          <w:szCs w:val="24"/>
        </w:rPr>
        <w:t>. It is important to note that there are similarities in the symptoms between COVID-19 and earlier beta</w:t>
      </w:r>
      <w:r w:rsidR="00B06312">
        <w:rPr>
          <w:rFonts w:ascii="Calisto MT" w:hAnsi="Calisto MT"/>
          <w:sz w:val="24"/>
          <w:szCs w:val="24"/>
        </w:rPr>
        <w:t>-</w:t>
      </w:r>
      <w:r w:rsidRPr="00EB6648">
        <w:rPr>
          <w:rFonts w:ascii="Calisto MT" w:hAnsi="Calisto MT"/>
          <w:sz w:val="24"/>
          <w:szCs w:val="24"/>
        </w:rPr>
        <w:t>coronavirus such as fever, dry cough, dyspnea, and bilateral ground-glas</w:t>
      </w:r>
      <w:r w:rsidR="00B06312">
        <w:rPr>
          <w:rFonts w:ascii="Calisto MT" w:hAnsi="Calisto MT"/>
          <w:sz w:val="24"/>
          <w:szCs w:val="24"/>
        </w:rPr>
        <w:t>s opacities on chest CT scans</w:t>
      </w:r>
      <w:r w:rsidRPr="00EB6648">
        <w:rPr>
          <w:rFonts w:ascii="Calisto MT" w:hAnsi="Calisto MT"/>
          <w:sz w:val="24"/>
          <w:szCs w:val="24"/>
        </w:rPr>
        <w:t xml:space="preserve">. However, COVID-19 showed some unique clinical features that include the targeting of the lower airway as evident by upper respiratory tract symptoms like </w:t>
      </w:r>
      <w:r w:rsidR="00725FFE" w:rsidRPr="00EB6648">
        <w:rPr>
          <w:rFonts w:ascii="Calisto MT" w:hAnsi="Calisto MT"/>
          <w:sz w:val="24"/>
          <w:szCs w:val="24"/>
        </w:rPr>
        <w:t>rhinorrhea</w:t>
      </w:r>
      <w:r w:rsidRPr="00EB6648">
        <w:rPr>
          <w:rFonts w:ascii="Calisto MT" w:hAnsi="Calisto MT"/>
          <w:sz w:val="24"/>
          <w:szCs w:val="24"/>
        </w:rPr>
        <w:t>,</w:t>
      </w:r>
      <w:r w:rsidR="00B06312">
        <w:rPr>
          <w:rFonts w:ascii="Calisto MT" w:hAnsi="Calisto MT"/>
          <w:sz w:val="24"/>
          <w:szCs w:val="24"/>
        </w:rPr>
        <w:t xml:space="preserve"> sneezing, and sore throat</w:t>
      </w:r>
      <w:r w:rsidR="00EA79BF">
        <w:rPr>
          <w:rFonts w:ascii="Calisto MT" w:hAnsi="Calisto MT"/>
          <w:sz w:val="24"/>
          <w:szCs w:val="24"/>
        </w:rPr>
        <w:t xml:space="preserve"> (Lupia </w:t>
      </w:r>
      <w:r w:rsidR="00EA79BF">
        <w:rPr>
          <w:rFonts w:ascii="Calisto MT" w:hAnsi="Calisto MT"/>
          <w:i/>
          <w:sz w:val="24"/>
          <w:szCs w:val="24"/>
        </w:rPr>
        <w:t xml:space="preserve">et al., </w:t>
      </w:r>
      <w:r w:rsidR="00EA79BF">
        <w:rPr>
          <w:rFonts w:ascii="Calisto MT" w:hAnsi="Calisto MT"/>
          <w:sz w:val="24"/>
          <w:szCs w:val="24"/>
        </w:rPr>
        <w:t>2020)</w:t>
      </w:r>
      <w:r w:rsidRPr="00EB6648">
        <w:rPr>
          <w:rFonts w:ascii="Calisto MT" w:hAnsi="Calisto MT"/>
          <w:sz w:val="24"/>
          <w:szCs w:val="24"/>
        </w:rPr>
        <w:t>. In addition, based on results from chest radiographs upon</w:t>
      </w:r>
      <w:r>
        <w:rPr>
          <w:rFonts w:ascii="Calisto MT" w:hAnsi="Calisto MT"/>
          <w:sz w:val="24"/>
          <w:szCs w:val="24"/>
        </w:rPr>
        <w:t xml:space="preserve"> </w:t>
      </w:r>
      <w:r w:rsidRPr="00EB6648">
        <w:rPr>
          <w:rFonts w:ascii="Calisto MT" w:hAnsi="Calisto MT"/>
          <w:sz w:val="24"/>
          <w:szCs w:val="24"/>
        </w:rPr>
        <w:t>admission, some of the cases show an infiltrate in the upper lobe of the lung that is associated with incre</w:t>
      </w:r>
      <w:r w:rsidR="00B06312">
        <w:rPr>
          <w:rFonts w:ascii="Calisto MT" w:hAnsi="Calisto MT"/>
          <w:sz w:val="24"/>
          <w:szCs w:val="24"/>
        </w:rPr>
        <w:t>asing dyspnea with hypoxemia</w:t>
      </w:r>
      <w:r w:rsidR="00EA79BF">
        <w:rPr>
          <w:rFonts w:ascii="Calisto MT" w:hAnsi="Calisto MT"/>
          <w:sz w:val="24"/>
          <w:szCs w:val="24"/>
        </w:rPr>
        <w:t xml:space="preserve"> (Shereen </w:t>
      </w:r>
      <w:r w:rsidR="00EA79BF">
        <w:rPr>
          <w:rFonts w:ascii="Calisto MT" w:hAnsi="Calisto MT"/>
          <w:i/>
          <w:sz w:val="24"/>
          <w:szCs w:val="24"/>
        </w:rPr>
        <w:t xml:space="preserve">et al., </w:t>
      </w:r>
      <w:r w:rsidR="00EA79BF">
        <w:rPr>
          <w:rFonts w:ascii="Calisto MT" w:hAnsi="Calisto MT"/>
          <w:sz w:val="24"/>
          <w:szCs w:val="24"/>
        </w:rPr>
        <w:t>2020)</w:t>
      </w:r>
      <w:r w:rsidRPr="00EB6648">
        <w:rPr>
          <w:rFonts w:ascii="Calisto MT" w:hAnsi="Calisto MT"/>
          <w:sz w:val="24"/>
          <w:szCs w:val="24"/>
        </w:rPr>
        <w:t xml:space="preserve">. Importantly, whereas patients infected with COVID-19 developed gastrointestinal symptoms like </w:t>
      </w:r>
      <w:r w:rsidR="00B06312" w:rsidRPr="00EB6648">
        <w:rPr>
          <w:rFonts w:ascii="Calisto MT" w:hAnsi="Calisto MT"/>
          <w:sz w:val="24"/>
          <w:szCs w:val="24"/>
        </w:rPr>
        <w:t>diarrhea</w:t>
      </w:r>
      <w:r w:rsidRPr="00EB6648">
        <w:rPr>
          <w:rFonts w:ascii="Calisto MT" w:hAnsi="Calisto MT"/>
          <w:sz w:val="24"/>
          <w:szCs w:val="24"/>
        </w:rPr>
        <w:t xml:space="preserve">, a low percentage of MERS-CoV or SARS-CoV patients experienced similar GI distress. Therefore, it is important to test </w:t>
      </w:r>
      <w:r w:rsidR="00725FFE" w:rsidRPr="00EB6648">
        <w:rPr>
          <w:rFonts w:ascii="Calisto MT" w:hAnsi="Calisto MT"/>
          <w:sz w:val="24"/>
          <w:szCs w:val="24"/>
        </w:rPr>
        <w:t>fecal</w:t>
      </w:r>
      <w:r w:rsidRPr="00EB6648">
        <w:rPr>
          <w:rFonts w:ascii="Calisto MT" w:hAnsi="Calisto MT"/>
          <w:sz w:val="24"/>
          <w:szCs w:val="24"/>
        </w:rPr>
        <w:t xml:space="preserve"> and urine samples to exclude a potential alternative route of transmission, specifically through health care workers, patients </w:t>
      </w:r>
      <w:r w:rsidR="00EA79BF" w:rsidRPr="00EB6648">
        <w:rPr>
          <w:rFonts w:ascii="Calisto MT" w:hAnsi="Calisto MT"/>
          <w:sz w:val="24"/>
          <w:szCs w:val="24"/>
        </w:rPr>
        <w:t>etc.</w:t>
      </w:r>
      <w:r w:rsidR="00EA79BF">
        <w:rPr>
          <w:rFonts w:ascii="Calisto MT" w:hAnsi="Calisto MT"/>
          <w:sz w:val="24"/>
          <w:szCs w:val="24"/>
        </w:rPr>
        <w:t xml:space="preserve"> (Shereen </w:t>
      </w:r>
      <w:r w:rsidR="00EA79BF">
        <w:rPr>
          <w:rFonts w:ascii="Calisto MT" w:hAnsi="Calisto MT"/>
          <w:i/>
          <w:sz w:val="24"/>
          <w:szCs w:val="24"/>
        </w:rPr>
        <w:t xml:space="preserve">et al., </w:t>
      </w:r>
      <w:r w:rsidR="00EA79BF">
        <w:rPr>
          <w:rFonts w:ascii="Calisto MT" w:hAnsi="Calisto MT"/>
          <w:sz w:val="24"/>
          <w:szCs w:val="24"/>
        </w:rPr>
        <w:t>2020)</w:t>
      </w:r>
      <w:r w:rsidRPr="00EB6648">
        <w:rPr>
          <w:rFonts w:ascii="Calisto MT" w:hAnsi="Calisto MT"/>
          <w:sz w:val="24"/>
          <w:szCs w:val="24"/>
        </w:rPr>
        <w:t xml:space="preserve">. Therefore, development of methods to identify the various modes of transmission such as </w:t>
      </w:r>
      <w:r w:rsidR="00725FFE" w:rsidRPr="00EB6648">
        <w:rPr>
          <w:rFonts w:ascii="Calisto MT" w:hAnsi="Calisto MT"/>
          <w:sz w:val="24"/>
          <w:szCs w:val="24"/>
        </w:rPr>
        <w:t>fecal</w:t>
      </w:r>
      <w:r w:rsidRPr="00EB6648">
        <w:rPr>
          <w:rFonts w:ascii="Calisto MT" w:hAnsi="Calisto MT"/>
          <w:sz w:val="24"/>
          <w:szCs w:val="24"/>
        </w:rPr>
        <w:t xml:space="preserve"> and urine samples are urgently warranted in order to develop strategies to inhibit and/or minimize transmission and to develop therapeutics to control the disease</w:t>
      </w:r>
      <w:r w:rsidR="00EA79BF">
        <w:rPr>
          <w:rFonts w:ascii="Calisto MT" w:hAnsi="Calisto MT"/>
          <w:sz w:val="24"/>
          <w:szCs w:val="24"/>
        </w:rPr>
        <w:t xml:space="preserve"> (Shereen </w:t>
      </w:r>
      <w:r w:rsidR="00EA79BF">
        <w:rPr>
          <w:rFonts w:ascii="Calisto MT" w:hAnsi="Calisto MT"/>
          <w:i/>
          <w:sz w:val="24"/>
          <w:szCs w:val="24"/>
        </w:rPr>
        <w:t xml:space="preserve">et al., </w:t>
      </w:r>
      <w:r w:rsidR="00EA79BF">
        <w:rPr>
          <w:rFonts w:ascii="Calisto MT" w:hAnsi="Calisto MT"/>
          <w:sz w:val="24"/>
          <w:szCs w:val="24"/>
        </w:rPr>
        <w:t>2020)</w:t>
      </w:r>
      <w:r w:rsidRPr="00EB6648">
        <w:rPr>
          <w:rFonts w:ascii="Calisto MT" w:hAnsi="Calisto MT"/>
          <w:sz w:val="24"/>
          <w:szCs w:val="24"/>
        </w:rPr>
        <w:t>.</w:t>
      </w:r>
    </w:p>
    <w:p w:rsidR="00966A9F" w:rsidRDefault="00966A9F" w:rsidP="00364F74">
      <w:pPr>
        <w:spacing w:after="0" w:line="480" w:lineRule="auto"/>
        <w:jc w:val="both"/>
        <w:rPr>
          <w:rFonts w:ascii="Calisto MT" w:hAnsi="Calisto MT"/>
          <w:b/>
          <w:sz w:val="24"/>
          <w:szCs w:val="24"/>
        </w:rPr>
      </w:pPr>
      <w:r>
        <w:rPr>
          <w:rFonts w:ascii="Calisto MT" w:hAnsi="Calisto MT"/>
          <w:b/>
          <w:sz w:val="24"/>
          <w:szCs w:val="24"/>
        </w:rPr>
        <w:t>1.6: Current Therapies of COVID-19</w:t>
      </w:r>
    </w:p>
    <w:p w:rsidR="00966A9F" w:rsidRDefault="00D94872" w:rsidP="005477AE">
      <w:pPr>
        <w:spacing w:after="0" w:line="480" w:lineRule="auto"/>
        <w:ind w:firstLine="720"/>
        <w:jc w:val="both"/>
        <w:rPr>
          <w:rFonts w:ascii="Calisto MT" w:hAnsi="Calisto MT"/>
          <w:sz w:val="24"/>
          <w:szCs w:val="24"/>
        </w:rPr>
      </w:pPr>
      <w:r w:rsidRPr="00D94872">
        <w:rPr>
          <w:rFonts w:ascii="Calisto MT" w:hAnsi="Calisto MT"/>
          <w:sz w:val="24"/>
          <w:szCs w:val="24"/>
        </w:rPr>
        <w:t>The person-to-person transmission of COVID-19 infection led to the isolation of patients that were administered a variety of treatments. At present, there are no specific antiviral drugs or vaccine against COVID19 infection for potential therapy of humans</w:t>
      </w:r>
      <w:r w:rsidR="00216CFE">
        <w:rPr>
          <w:rFonts w:ascii="Calisto MT" w:hAnsi="Calisto MT"/>
          <w:sz w:val="24"/>
          <w:szCs w:val="24"/>
        </w:rPr>
        <w:t xml:space="preserve"> (Xu </w:t>
      </w:r>
      <w:r w:rsidR="00216CFE">
        <w:rPr>
          <w:rFonts w:ascii="Calisto MT" w:hAnsi="Calisto MT"/>
          <w:i/>
          <w:sz w:val="24"/>
          <w:szCs w:val="24"/>
        </w:rPr>
        <w:t xml:space="preserve">et </w:t>
      </w:r>
      <w:r w:rsidR="00216CFE">
        <w:rPr>
          <w:rFonts w:ascii="Calisto MT" w:hAnsi="Calisto MT"/>
          <w:i/>
          <w:sz w:val="24"/>
          <w:szCs w:val="24"/>
        </w:rPr>
        <w:lastRenderedPageBreak/>
        <w:t xml:space="preserve">al., </w:t>
      </w:r>
      <w:r w:rsidR="00216CFE">
        <w:rPr>
          <w:rFonts w:ascii="Calisto MT" w:hAnsi="Calisto MT"/>
          <w:sz w:val="24"/>
          <w:szCs w:val="24"/>
        </w:rPr>
        <w:t>2020)</w:t>
      </w:r>
      <w:r w:rsidRPr="00D94872">
        <w:rPr>
          <w:rFonts w:ascii="Calisto MT" w:hAnsi="Calisto MT"/>
          <w:sz w:val="24"/>
          <w:szCs w:val="24"/>
        </w:rPr>
        <w:t>. The only option available is using broad-spectrum antiviral drugs like Nucleoside analogues and also HIV-protease inhibitors that could attenuate virus infection until the specific antiviral becomes available. The treatment that have so far been attempted showed that 75 patients were administrated existing antiviral drugs</w:t>
      </w:r>
      <w:r w:rsidR="00216CFE">
        <w:rPr>
          <w:rFonts w:ascii="Calisto MT" w:hAnsi="Calisto MT"/>
          <w:sz w:val="24"/>
          <w:szCs w:val="24"/>
        </w:rPr>
        <w:t xml:space="preserve"> (Xu </w:t>
      </w:r>
      <w:r w:rsidR="00216CFE">
        <w:rPr>
          <w:rFonts w:ascii="Calisto MT" w:hAnsi="Calisto MT"/>
          <w:i/>
          <w:sz w:val="24"/>
          <w:szCs w:val="24"/>
        </w:rPr>
        <w:t xml:space="preserve">et al., </w:t>
      </w:r>
      <w:r w:rsidR="00216CFE">
        <w:rPr>
          <w:rFonts w:ascii="Calisto MT" w:hAnsi="Calisto MT"/>
          <w:sz w:val="24"/>
          <w:szCs w:val="24"/>
        </w:rPr>
        <w:t>2020)</w:t>
      </w:r>
      <w:r w:rsidRPr="00D94872">
        <w:rPr>
          <w:rFonts w:ascii="Calisto MT" w:hAnsi="Calisto MT"/>
          <w:sz w:val="24"/>
          <w:szCs w:val="24"/>
        </w:rPr>
        <w:t>. The course of treatment included twice a day oral administration of 75 mg oseltamivir, 500 mg lopinavir, 500 mg ritonavir and the intravenous administration of 0</w:t>
      </w:r>
      <w:r w:rsidRPr="00D94872">
        <w:rPr>
          <w:rFonts w:ascii="Cambria" w:hAnsi="Cambria" w:cs="Cambria"/>
          <w:sz w:val="24"/>
          <w:szCs w:val="24"/>
        </w:rPr>
        <w:t>·</w:t>
      </w:r>
      <w:r w:rsidRPr="00D94872">
        <w:rPr>
          <w:rFonts w:ascii="Calisto MT" w:hAnsi="Calisto MT"/>
          <w:sz w:val="24"/>
          <w:szCs w:val="24"/>
        </w:rPr>
        <w:t>25 g ganciclovir for 3</w:t>
      </w:r>
      <w:r w:rsidRPr="00D94872">
        <w:rPr>
          <w:rFonts w:ascii="Calisto MT" w:hAnsi="Calisto MT" w:cs="Calisto MT"/>
          <w:sz w:val="24"/>
          <w:szCs w:val="24"/>
        </w:rPr>
        <w:t>–</w:t>
      </w:r>
      <w:r w:rsidRPr="00D94872">
        <w:rPr>
          <w:rFonts w:ascii="Calisto MT" w:hAnsi="Calisto MT"/>
          <w:sz w:val="24"/>
          <w:szCs w:val="24"/>
        </w:rPr>
        <w:t>14 days. Another report showed that the broad-spectrum antiviral remdesivir and chloroquine are highly effective in the control of 2019- nCoV infection in vitro</w:t>
      </w:r>
      <w:r w:rsidR="00216CFE">
        <w:rPr>
          <w:rFonts w:ascii="Calisto MT" w:hAnsi="Calisto MT"/>
          <w:sz w:val="24"/>
          <w:szCs w:val="24"/>
        </w:rPr>
        <w:t xml:space="preserve"> (Xu </w:t>
      </w:r>
      <w:r w:rsidR="00216CFE">
        <w:rPr>
          <w:rFonts w:ascii="Calisto MT" w:hAnsi="Calisto MT"/>
          <w:i/>
          <w:sz w:val="24"/>
          <w:szCs w:val="24"/>
        </w:rPr>
        <w:t xml:space="preserve">et al., </w:t>
      </w:r>
      <w:r w:rsidR="00216CFE">
        <w:rPr>
          <w:rFonts w:ascii="Calisto MT" w:hAnsi="Calisto MT"/>
          <w:sz w:val="24"/>
          <w:szCs w:val="24"/>
        </w:rPr>
        <w:t>2020)</w:t>
      </w:r>
      <w:r w:rsidRPr="00D94872">
        <w:rPr>
          <w:rFonts w:ascii="Calisto MT" w:hAnsi="Calisto MT"/>
          <w:sz w:val="24"/>
          <w:szCs w:val="24"/>
        </w:rPr>
        <w:t>. These antiviral compounds have been used in human patients with a safety track record. Thus, these therapeutic agents can be considered to treat COVID-19 infection</w:t>
      </w:r>
      <w:r w:rsidR="00216CFE">
        <w:rPr>
          <w:rFonts w:ascii="Calisto MT" w:hAnsi="Calisto MT"/>
          <w:sz w:val="24"/>
          <w:szCs w:val="24"/>
        </w:rPr>
        <w:t xml:space="preserve"> (Bai </w:t>
      </w:r>
      <w:r w:rsidR="00216CFE">
        <w:rPr>
          <w:rFonts w:ascii="Calisto MT" w:hAnsi="Calisto MT"/>
          <w:i/>
          <w:sz w:val="24"/>
          <w:szCs w:val="24"/>
        </w:rPr>
        <w:t xml:space="preserve">et al., </w:t>
      </w:r>
      <w:r w:rsidR="00216CFE">
        <w:rPr>
          <w:rFonts w:ascii="Calisto MT" w:hAnsi="Calisto MT"/>
          <w:sz w:val="24"/>
          <w:szCs w:val="24"/>
        </w:rPr>
        <w:t>2020)</w:t>
      </w:r>
      <w:r w:rsidRPr="00D94872">
        <w:rPr>
          <w:rFonts w:ascii="Calisto MT" w:hAnsi="Calisto MT"/>
          <w:sz w:val="24"/>
          <w:szCs w:val="24"/>
        </w:rPr>
        <w:t xml:space="preserve">. Furthermore, there are a number of other compounds that are in development. These include the clinical candidate EIDD-2801 compound that has shown high therapeutic potential </w:t>
      </w:r>
      <w:r w:rsidR="00B06312" w:rsidRPr="00D94872">
        <w:rPr>
          <w:rFonts w:ascii="Calisto MT" w:hAnsi="Calisto MT"/>
          <w:sz w:val="24"/>
          <w:szCs w:val="24"/>
        </w:rPr>
        <w:t>against</w:t>
      </w:r>
      <w:r w:rsidRPr="00D94872">
        <w:rPr>
          <w:rFonts w:ascii="Calisto MT" w:hAnsi="Calisto MT"/>
          <w:sz w:val="24"/>
          <w:szCs w:val="24"/>
        </w:rPr>
        <w:t xml:space="preserve"> seasonal and pandemic influenza virus infections and this represents another potential drug to be considered for the treatment of COVID-19 infection</w:t>
      </w:r>
      <w:r w:rsidR="00216CFE">
        <w:rPr>
          <w:rFonts w:ascii="Calisto MT" w:hAnsi="Calisto MT"/>
          <w:sz w:val="24"/>
          <w:szCs w:val="24"/>
        </w:rPr>
        <w:t xml:space="preserve"> (Bai </w:t>
      </w:r>
      <w:r w:rsidR="00216CFE">
        <w:rPr>
          <w:rFonts w:ascii="Calisto MT" w:hAnsi="Calisto MT"/>
          <w:i/>
          <w:sz w:val="24"/>
          <w:szCs w:val="24"/>
        </w:rPr>
        <w:t xml:space="preserve">et al., </w:t>
      </w:r>
      <w:r w:rsidR="00216CFE">
        <w:rPr>
          <w:rFonts w:ascii="Calisto MT" w:hAnsi="Calisto MT"/>
          <w:sz w:val="24"/>
          <w:szCs w:val="24"/>
        </w:rPr>
        <w:t>2020)</w:t>
      </w:r>
      <w:r w:rsidRPr="00D94872">
        <w:rPr>
          <w:rFonts w:ascii="Calisto MT" w:hAnsi="Calisto MT"/>
          <w:sz w:val="24"/>
          <w:szCs w:val="24"/>
        </w:rPr>
        <w:t xml:space="preserve">. Along those lines, until more specific therapeutics become available, it is reasonable to consider more broad-spectrum antivirals that provide drug treatment options for COVID-19 infection include Lopinavir/Ritonavir, Neuraminidase inhibitors, peptide (EK1), </w:t>
      </w:r>
      <w:r w:rsidR="00B06312" w:rsidRPr="00D94872">
        <w:rPr>
          <w:rFonts w:ascii="Calisto MT" w:hAnsi="Calisto MT"/>
          <w:sz w:val="24"/>
          <w:szCs w:val="24"/>
        </w:rPr>
        <w:t>and RNA</w:t>
      </w:r>
      <w:r w:rsidRPr="00D94872">
        <w:rPr>
          <w:rFonts w:ascii="Calisto MT" w:hAnsi="Calisto MT"/>
          <w:sz w:val="24"/>
          <w:szCs w:val="24"/>
        </w:rPr>
        <w:t xml:space="preserve"> synthesis inhibitors</w:t>
      </w:r>
      <w:r w:rsidR="00216CFE">
        <w:rPr>
          <w:rFonts w:ascii="Calisto MT" w:hAnsi="Calisto MT"/>
          <w:sz w:val="24"/>
          <w:szCs w:val="24"/>
        </w:rPr>
        <w:t xml:space="preserve"> (Bai </w:t>
      </w:r>
      <w:r w:rsidR="00216CFE">
        <w:rPr>
          <w:rFonts w:ascii="Calisto MT" w:hAnsi="Calisto MT"/>
          <w:i/>
          <w:sz w:val="24"/>
          <w:szCs w:val="24"/>
        </w:rPr>
        <w:t xml:space="preserve">et al., </w:t>
      </w:r>
      <w:r w:rsidR="00216CFE">
        <w:rPr>
          <w:rFonts w:ascii="Calisto MT" w:hAnsi="Calisto MT"/>
          <w:sz w:val="24"/>
          <w:szCs w:val="24"/>
        </w:rPr>
        <w:t>2020)</w:t>
      </w:r>
      <w:r w:rsidRPr="00D94872">
        <w:rPr>
          <w:rFonts w:ascii="Calisto MT" w:hAnsi="Calisto MT"/>
          <w:sz w:val="24"/>
          <w:szCs w:val="24"/>
        </w:rPr>
        <w:t>. It is clear however, that more research is urgently needed to identify novel chemotherapeutic drugs for treating COVID-19 infections. In order to develop pre-and post-exposure prophylaxis against COVID-19, there is an urgent need to establish an animal model to replicate the severe disease currently observed in humans</w:t>
      </w:r>
      <w:r w:rsidR="00216CFE">
        <w:rPr>
          <w:rFonts w:ascii="Calisto MT" w:hAnsi="Calisto MT"/>
          <w:sz w:val="24"/>
          <w:szCs w:val="24"/>
        </w:rPr>
        <w:t xml:space="preserve"> (Xu </w:t>
      </w:r>
      <w:r w:rsidR="00216CFE">
        <w:rPr>
          <w:rFonts w:ascii="Calisto MT" w:hAnsi="Calisto MT"/>
          <w:i/>
          <w:sz w:val="24"/>
          <w:szCs w:val="24"/>
        </w:rPr>
        <w:t xml:space="preserve">et al., </w:t>
      </w:r>
      <w:r w:rsidR="00216CFE">
        <w:rPr>
          <w:rFonts w:ascii="Calisto MT" w:hAnsi="Calisto MT"/>
          <w:sz w:val="24"/>
          <w:szCs w:val="24"/>
        </w:rPr>
        <w:t>2020)</w:t>
      </w:r>
      <w:r w:rsidRPr="00D94872">
        <w:rPr>
          <w:rFonts w:ascii="Calisto MT" w:hAnsi="Calisto MT"/>
          <w:sz w:val="24"/>
          <w:szCs w:val="24"/>
        </w:rPr>
        <w:t xml:space="preserve">. Several groups of scientists are currently working hard to develop a nonhuman primate model to study COVID19 infection to establish fast track novel therapeutics and for the testing of </w:t>
      </w:r>
      <w:r w:rsidRPr="00D94872">
        <w:rPr>
          <w:rFonts w:ascii="Calisto MT" w:hAnsi="Calisto MT"/>
          <w:sz w:val="24"/>
          <w:szCs w:val="24"/>
        </w:rPr>
        <w:lastRenderedPageBreak/>
        <w:t>potential vaccines in addition to providing a better understanding of virus-host interaction</w:t>
      </w:r>
      <w:r w:rsidR="00216CFE">
        <w:rPr>
          <w:rFonts w:ascii="Calisto MT" w:hAnsi="Calisto MT"/>
          <w:sz w:val="24"/>
          <w:szCs w:val="24"/>
        </w:rPr>
        <w:t xml:space="preserve"> (Bai </w:t>
      </w:r>
      <w:r w:rsidR="00216CFE">
        <w:rPr>
          <w:rFonts w:ascii="Calisto MT" w:hAnsi="Calisto MT"/>
          <w:i/>
          <w:sz w:val="24"/>
          <w:szCs w:val="24"/>
        </w:rPr>
        <w:t xml:space="preserve">et al., </w:t>
      </w:r>
      <w:r w:rsidR="00216CFE">
        <w:rPr>
          <w:rFonts w:ascii="Calisto MT" w:hAnsi="Calisto MT"/>
          <w:sz w:val="24"/>
          <w:szCs w:val="24"/>
        </w:rPr>
        <w:t>2020)</w:t>
      </w:r>
      <w:r>
        <w:rPr>
          <w:rFonts w:ascii="Calisto MT" w:hAnsi="Calisto MT"/>
          <w:sz w:val="24"/>
          <w:szCs w:val="24"/>
        </w:rPr>
        <w:t>.</w:t>
      </w:r>
    </w:p>
    <w:p w:rsidR="00A3461F" w:rsidRDefault="00A3461F" w:rsidP="00364F74">
      <w:pPr>
        <w:spacing w:after="0" w:line="480" w:lineRule="auto"/>
        <w:jc w:val="both"/>
        <w:rPr>
          <w:rFonts w:ascii="Calisto MT" w:hAnsi="Calisto MT"/>
          <w:b/>
          <w:sz w:val="24"/>
          <w:szCs w:val="24"/>
        </w:rPr>
      </w:pPr>
    </w:p>
    <w:p w:rsidR="00D94872" w:rsidRDefault="00477EFF" w:rsidP="00364F74">
      <w:pPr>
        <w:spacing w:after="0" w:line="480" w:lineRule="auto"/>
        <w:jc w:val="both"/>
        <w:rPr>
          <w:rFonts w:ascii="Calisto MT" w:hAnsi="Calisto MT"/>
          <w:b/>
          <w:sz w:val="24"/>
          <w:szCs w:val="24"/>
        </w:rPr>
      </w:pPr>
      <w:r>
        <w:rPr>
          <w:rFonts w:ascii="Calisto MT" w:hAnsi="Calisto MT"/>
          <w:b/>
          <w:sz w:val="24"/>
          <w:szCs w:val="24"/>
        </w:rPr>
        <w:t>1.7 Future of COVID-19</w:t>
      </w:r>
    </w:p>
    <w:p w:rsidR="00250098" w:rsidRPr="009C225F" w:rsidRDefault="009C225F" w:rsidP="005477AE">
      <w:pPr>
        <w:spacing w:after="0" w:line="480" w:lineRule="auto"/>
        <w:ind w:firstLine="720"/>
        <w:jc w:val="both"/>
        <w:rPr>
          <w:rFonts w:ascii="Calisto MT" w:hAnsi="Calisto MT"/>
          <w:sz w:val="24"/>
          <w:szCs w:val="24"/>
        </w:rPr>
      </w:pPr>
      <w:r w:rsidRPr="009C225F">
        <w:rPr>
          <w:rFonts w:ascii="Calisto MT" w:hAnsi="Calisto MT"/>
          <w:sz w:val="24"/>
          <w:szCs w:val="24"/>
        </w:rPr>
        <w:t>Extensive measures to reduce person-to-person transmission of COVID-19 are required to control the current outbreak. Special attention and efforts to protect or reduce transmission should be applied in susceptible populations including children, health care providers, and elderly people</w:t>
      </w:r>
      <w:r w:rsidR="00CE2C4E">
        <w:rPr>
          <w:rFonts w:ascii="Calisto MT" w:hAnsi="Calisto MT"/>
          <w:sz w:val="24"/>
          <w:szCs w:val="24"/>
        </w:rPr>
        <w:t xml:space="preserve"> (Lupia </w:t>
      </w:r>
      <w:r w:rsidR="00CE2C4E">
        <w:rPr>
          <w:rFonts w:ascii="Calisto MT" w:hAnsi="Calisto MT"/>
          <w:i/>
          <w:sz w:val="24"/>
          <w:szCs w:val="24"/>
        </w:rPr>
        <w:t xml:space="preserve">et al., </w:t>
      </w:r>
      <w:r w:rsidR="00CE2C4E">
        <w:rPr>
          <w:rFonts w:ascii="Calisto MT" w:hAnsi="Calisto MT"/>
          <w:sz w:val="24"/>
          <w:szCs w:val="24"/>
        </w:rPr>
        <w:t>2020)</w:t>
      </w:r>
      <w:r w:rsidRPr="009C225F">
        <w:rPr>
          <w:rFonts w:ascii="Calisto MT" w:hAnsi="Calisto MT"/>
          <w:sz w:val="24"/>
          <w:szCs w:val="24"/>
        </w:rPr>
        <w:t>. A guideline was published for the medical staff, healthcare providers, and, public health individuals and researchers who are interested in the 2019-nCoV</w:t>
      </w:r>
      <w:r w:rsidR="00CE2C4E">
        <w:rPr>
          <w:rFonts w:ascii="Calisto MT" w:hAnsi="Calisto MT"/>
          <w:sz w:val="24"/>
          <w:szCs w:val="24"/>
        </w:rPr>
        <w:t xml:space="preserve"> (Lupia </w:t>
      </w:r>
      <w:r w:rsidR="00CE2C4E">
        <w:rPr>
          <w:rFonts w:ascii="Calisto MT" w:hAnsi="Calisto MT"/>
          <w:i/>
          <w:sz w:val="24"/>
          <w:szCs w:val="24"/>
        </w:rPr>
        <w:t xml:space="preserve">et al., </w:t>
      </w:r>
      <w:r w:rsidR="00CE2C4E">
        <w:rPr>
          <w:rFonts w:ascii="Calisto MT" w:hAnsi="Calisto MT"/>
          <w:sz w:val="24"/>
          <w:szCs w:val="24"/>
        </w:rPr>
        <w:t>2020)</w:t>
      </w:r>
      <w:r w:rsidRPr="009C225F">
        <w:rPr>
          <w:rFonts w:ascii="Calisto MT" w:hAnsi="Calisto MT"/>
          <w:sz w:val="24"/>
          <w:szCs w:val="24"/>
        </w:rPr>
        <w:t>. The early death cases of COVID-19 outbreak occurred primarily in elderly people, possibly due to a weak immune system that permits faster progression of viral infection</w:t>
      </w:r>
      <w:r w:rsidR="00CE2C4E">
        <w:rPr>
          <w:rFonts w:ascii="Calisto MT" w:hAnsi="Calisto MT"/>
          <w:sz w:val="24"/>
          <w:szCs w:val="24"/>
        </w:rPr>
        <w:t xml:space="preserve"> (Lupia </w:t>
      </w:r>
      <w:r w:rsidR="00CE2C4E">
        <w:rPr>
          <w:rFonts w:ascii="Calisto MT" w:hAnsi="Calisto MT"/>
          <w:i/>
          <w:sz w:val="24"/>
          <w:szCs w:val="24"/>
        </w:rPr>
        <w:t xml:space="preserve">et al., </w:t>
      </w:r>
      <w:r w:rsidR="00CE2C4E">
        <w:rPr>
          <w:rFonts w:ascii="Calisto MT" w:hAnsi="Calisto MT"/>
          <w:sz w:val="24"/>
          <w:szCs w:val="24"/>
        </w:rPr>
        <w:t>2020)</w:t>
      </w:r>
      <w:r w:rsidRPr="009C225F">
        <w:rPr>
          <w:rFonts w:ascii="Calisto MT" w:hAnsi="Calisto MT"/>
          <w:sz w:val="24"/>
          <w:szCs w:val="24"/>
        </w:rPr>
        <w:t xml:space="preserve">. The public services and facilities should provide decontaminating reagents for cleaning hands on a routine basis. Physical contact with wet and contaminated objects should be considered in dealing with the virus, especially agents such as </w:t>
      </w:r>
      <w:r w:rsidR="00725FFE" w:rsidRPr="009C225F">
        <w:rPr>
          <w:rFonts w:ascii="Calisto MT" w:hAnsi="Calisto MT"/>
          <w:sz w:val="24"/>
          <w:szCs w:val="24"/>
        </w:rPr>
        <w:t>fecal</w:t>
      </w:r>
      <w:r w:rsidRPr="009C225F">
        <w:rPr>
          <w:rFonts w:ascii="Calisto MT" w:hAnsi="Calisto MT"/>
          <w:sz w:val="24"/>
          <w:szCs w:val="24"/>
        </w:rPr>
        <w:t xml:space="preserve"> and urine samples that can potentially serve as an alternative route of transmission</w:t>
      </w:r>
      <w:r w:rsidR="00CE2C4E">
        <w:rPr>
          <w:rFonts w:ascii="Calisto MT" w:hAnsi="Calisto MT"/>
          <w:sz w:val="24"/>
          <w:szCs w:val="24"/>
        </w:rPr>
        <w:t xml:space="preserve"> (Rothan &amp; Byrareddy, 2020)</w:t>
      </w:r>
      <w:r w:rsidRPr="009C225F">
        <w:rPr>
          <w:rFonts w:ascii="Calisto MT" w:hAnsi="Calisto MT"/>
          <w:sz w:val="24"/>
          <w:szCs w:val="24"/>
        </w:rPr>
        <w:t>. China and other countries including the US have implemented major prevention and control measures including travel screenings to control further spread of the virus</w:t>
      </w:r>
      <w:r w:rsidR="00CE2C4E">
        <w:rPr>
          <w:rFonts w:ascii="Calisto MT" w:hAnsi="Calisto MT"/>
          <w:sz w:val="24"/>
          <w:szCs w:val="24"/>
        </w:rPr>
        <w:t xml:space="preserve"> (Rothan &amp; Byrareddy, 2020)</w:t>
      </w:r>
      <w:r w:rsidRPr="009C225F">
        <w:rPr>
          <w:rFonts w:ascii="Calisto MT" w:hAnsi="Calisto MT"/>
          <w:sz w:val="24"/>
          <w:szCs w:val="24"/>
        </w:rPr>
        <w:t>. Epidemiological changes in COVID-19 infection should be monitored taking into account potential routes of transmission and subclinical infections, in addition to the adaptation, evolution, and virus spread among humans and possible intermediate animals and reservoirs</w:t>
      </w:r>
      <w:r w:rsidR="00CE2C4E">
        <w:rPr>
          <w:rFonts w:ascii="Calisto MT" w:hAnsi="Calisto MT"/>
          <w:sz w:val="24"/>
          <w:szCs w:val="24"/>
        </w:rPr>
        <w:t xml:space="preserve"> (Rothan &amp; Byrareddy, 2020).</w:t>
      </w:r>
    </w:p>
    <w:p w:rsidR="00AC5F34" w:rsidRDefault="00AC5F34" w:rsidP="00FA6728">
      <w:pPr>
        <w:spacing w:after="0" w:line="480" w:lineRule="auto"/>
        <w:ind w:firstLine="720"/>
        <w:jc w:val="both"/>
        <w:rPr>
          <w:rFonts w:ascii="Calisto MT" w:hAnsi="Calisto MT"/>
          <w:sz w:val="24"/>
          <w:szCs w:val="24"/>
        </w:rPr>
      </w:pPr>
    </w:p>
    <w:p w:rsidR="00873AD6" w:rsidRDefault="00FA6728" w:rsidP="00FA6728">
      <w:pPr>
        <w:spacing w:after="0" w:line="480" w:lineRule="auto"/>
        <w:ind w:firstLine="720"/>
        <w:jc w:val="both"/>
        <w:rPr>
          <w:rFonts w:ascii="Calisto MT" w:hAnsi="Calisto MT"/>
          <w:b/>
          <w:sz w:val="24"/>
          <w:szCs w:val="24"/>
        </w:rPr>
      </w:pPr>
      <w:r>
        <w:rPr>
          <w:rFonts w:ascii="Calisto MT" w:hAnsi="Calisto MT"/>
          <w:sz w:val="24"/>
          <w:szCs w:val="24"/>
        </w:rPr>
        <w:lastRenderedPageBreak/>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sidR="00873AD6">
        <w:rPr>
          <w:rFonts w:ascii="Calisto MT" w:hAnsi="Calisto MT"/>
          <w:b/>
          <w:sz w:val="24"/>
          <w:szCs w:val="24"/>
        </w:rPr>
        <w:t>REFERENCES</w:t>
      </w:r>
    </w:p>
    <w:p w:rsidR="00873AD6" w:rsidRDefault="00873AD6" w:rsidP="00873AD6">
      <w:pPr>
        <w:spacing w:after="0" w:line="240" w:lineRule="auto"/>
        <w:ind w:left="720" w:hanging="720"/>
        <w:jc w:val="both"/>
        <w:rPr>
          <w:rFonts w:ascii="Calisto MT" w:hAnsi="Calisto MT"/>
          <w:sz w:val="24"/>
          <w:szCs w:val="24"/>
        </w:rPr>
      </w:pPr>
      <w:r w:rsidRPr="00D13683">
        <w:rPr>
          <w:rFonts w:ascii="Calisto MT" w:hAnsi="Calisto MT"/>
          <w:sz w:val="24"/>
          <w:szCs w:val="24"/>
        </w:rPr>
        <w:t>Bai, Y., Yao, L., Wei, T., Tian, F., Jin, D. Y., Chen, L., &amp; Wang, M. (2020). Presumed asymptomatic carrier transmission of COVID-19. </w:t>
      </w:r>
      <w:r w:rsidRPr="00D13683">
        <w:rPr>
          <w:rFonts w:ascii="Calisto MT" w:hAnsi="Calisto MT"/>
          <w:i/>
          <w:iCs/>
          <w:sz w:val="24"/>
          <w:szCs w:val="24"/>
        </w:rPr>
        <w:t>Jama</w:t>
      </w:r>
      <w:r w:rsidRPr="00D13683">
        <w:rPr>
          <w:rFonts w:ascii="Calisto MT" w:hAnsi="Calisto MT"/>
          <w:sz w:val="24"/>
          <w:szCs w:val="24"/>
        </w:rPr>
        <w:t>.</w:t>
      </w:r>
    </w:p>
    <w:p w:rsidR="00873AD6" w:rsidRDefault="00873AD6" w:rsidP="00873AD6">
      <w:pPr>
        <w:spacing w:after="0" w:line="240" w:lineRule="auto"/>
        <w:ind w:left="720" w:hanging="720"/>
        <w:jc w:val="both"/>
        <w:rPr>
          <w:rFonts w:ascii="Calisto MT" w:hAnsi="Calisto MT"/>
          <w:sz w:val="24"/>
          <w:szCs w:val="24"/>
        </w:rPr>
      </w:pPr>
      <w:r w:rsidRPr="00FC06DE">
        <w:rPr>
          <w:rFonts w:ascii="Calisto MT" w:hAnsi="Calisto MT"/>
          <w:sz w:val="24"/>
          <w:szCs w:val="24"/>
        </w:rPr>
        <w:t>Chen, H., Guo, J., Wang, C., Luo, F., Yu, X., Zhang, W., ... &amp; Liao, J. (2020). Clinical characteristics and intrauterine vertical transmission potential of COVID-19 infection in nine pregnant women: a retrospective review of medical records. </w:t>
      </w:r>
      <w:r w:rsidRPr="00FC06DE">
        <w:rPr>
          <w:rFonts w:ascii="Calisto MT" w:hAnsi="Calisto MT"/>
          <w:i/>
          <w:iCs/>
          <w:sz w:val="24"/>
          <w:szCs w:val="24"/>
        </w:rPr>
        <w:t>The Lancet</w:t>
      </w:r>
      <w:r w:rsidRPr="00FC06DE">
        <w:rPr>
          <w:rFonts w:ascii="Calisto MT" w:hAnsi="Calisto MT"/>
          <w:sz w:val="24"/>
          <w:szCs w:val="24"/>
        </w:rPr>
        <w:t>, </w:t>
      </w:r>
      <w:r w:rsidRPr="00FC06DE">
        <w:rPr>
          <w:rFonts w:ascii="Calisto MT" w:hAnsi="Calisto MT"/>
          <w:i/>
          <w:iCs/>
          <w:sz w:val="24"/>
          <w:szCs w:val="24"/>
        </w:rPr>
        <w:t>395</w:t>
      </w:r>
      <w:r w:rsidRPr="00FC06DE">
        <w:rPr>
          <w:rFonts w:ascii="Calisto MT" w:hAnsi="Calisto MT"/>
          <w:sz w:val="24"/>
          <w:szCs w:val="24"/>
        </w:rPr>
        <w:t>(10226), 809-815.</w:t>
      </w:r>
    </w:p>
    <w:p w:rsidR="00873AD6" w:rsidRDefault="00873AD6" w:rsidP="00873AD6">
      <w:pPr>
        <w:spacing w:after="0" w:line="240" w:lineRule="auto"/>
        <w:ind w:left="720" w:hanging="720"/>
        <w:jc w:val="both"/>
        <w:rPr>
          <w:rFonts w:ascii="Calisto MT" w:hAnsi="Calisto MT"/>
          <w:sz w:val="24"/>
          <w:szCs w:val="24"/>
        </w:rPr>
      </w:pPr>
      <w:r w:rsidRPr="001977F3">
        <w:rPr>
          <w:rFonts w:ascii="Calisto MT" w:hAnsi="Calisto MT"/>
          <w:sz w:val="24"/>
          <w:szCs w:val="24"/>
        </w:rPr>
        <w:t>Gao, J., Tian, Z., &amp; Yang, X. (2020). Breakthrough: Chloroquine phosphate has shown apparent efficacy in treatment of COVID-19 associated pneumonia in clinical studies. </w:t>
      </w:r>
      <w:r w:rsidRPr="001977F3">
        <w:rPr>
          <w:rFonts w:ascii="Calisto MT" w:hAnsi="Calisto MT"/>
          <w:i/>
          <w:iCs/>
          <w:sz w:val="24"/>
          <w:szCs w:val="24"/>
        </w:rPr>
        <w:t>Bioscience trends</w:t>
      </w:r>
      <w:r w:rsidRPr="001977F3">
        <w:rPr>
          <w:rFonts w:ascii="Calisto MT" w:hAnsi="Calisto MT"/>
          <w:sz w:val="24"/>
          <w:szCs w:val="24"/>
        </w:rPr>
        <w:t>.</w:t>
      </w:r>
    </w:p>
    <w:p w:rsidR="00873AD6" w:rsidRDefault="00873AD6" w:rsidP="00873AD6">
      <w:pPr>
        <w:spacing w:after="0" w:line="240" w:lineRule="auto"/>
        <w:ind w:left="720" w:hanging="720"/>
        <w:jc w:val="both"/>
        <w:rPr>
          <w:rFonts w:ascii="Calisto MT" w:hAnsi="Calisto MT"/>
          <w:sz w:val="24"/>
          <w:szCs w:val="24"/>
        </w:rPr>
      </w:pPr>
      <w:r w:rsidRPr="00F82298">
        <w:rPr>
          <w:rFonts w:ascii="Calisto MT" w:hAnsi="Calisto MT"/>
          <w:sz w:val="24"/>
          <w:szCs w:val="24"/>
        </w:rPr>
        <w:t>Lupia, T., Scabini, S., Pinna, S. M., Di Perri, G., De Rosa, F. G., &amp; Corcione, S. (2020). 2019-novel coronavirus outbreak: A new challenge. </w:t>
      </w:r>
      <w:r w:rsidRPr="00F82298">
        <w:rPr>
          <w:rFonts w:ascii="Calisto MT" w:hAnsi="Calisto MT"/>
          <w:i/>
          <w:iCs/>
          <w:sz w:val="24"/>
          <w:szCs w:val="24"/>
        </w:rPr>
        <w:t>Journal of Global Antimicrobial Resistance</w:t>
      </w:r>
      <w:r w:rsidRPr="00F82298">
        <w:rPr>
          <w:rFonts w:ascii="Calisto MT" w:hAnsi="Calisto MT"/>
          <w:sz w:val="24"/>
          <w:szCs w:val="24"/>
        </w:rPr>
        <w:t>.</w:t>
      </w:r>
    </w:p>
    <w:p w:rsidR="00873AD6" w:rsidRDefault="00873AD6" w:rsidP="00873AD6">
      <w:pPr>
        <w:spacing w:after="0" w:line="240" w:lineRule="auto"/>
        <w:ind w:left="720" w:hanging="720"/>
        <w:jc w:val="both"/>
        <w:rPr>
          <w:rFonts w:ascii="Calisto MT" w:hAnsi="Calisto MT"/>
          <w:sz w:val="24"/>
          <w:szCs w:val="24"/>
        </w:rPr>
      </w:pPr>
      <w:r w:rsidRPr="00D0558D">
        <w:rPr>
          <w:rFonts w:ascii="Calisto MT" w:hAnsi="Calisto MT"/>
          <w:sz w:val="24"/>
          <w:szCs w:val="24"/>
        </w:rPr>
        <w:t>Rothan, H. A., &amp; Byrareddy, S. N. (2020). The epidemiology and pathogenesis of coronavirus disease (COVID-19) outbreak. </w:t>
      </w:r>
      <w:r w:rsidRPr="00D0558D">
        <w:rPr>
          <w:rFonts w:ascii="Calisto MT" w:hAnsi="Calisto MT"/>
          <w:i/>
          <w:iCs/>
          <w:sz w:val="24"/>
          <w:szCs w:val="24"/>
        </w:rPr>
        <w:t>Journal of autoimmunity</w:t>
      </w:r>
      <w:r w:rsidRPr="00D0558D">
        <w:rPr>
          <w:rFonts w:ascii="Calisto MT" w:hAnsi="Calisto MT"/>
          <w:sz w:val="24"/>
          <w:szCs w:val="24"/>
        </w:rPr>
        <w:t>, 102433.</w:t>
      </w:r>
    </w:p>
    <w:p w:rsidR="00873AD6" w:rsidRDefault="00873AD6" w:rsidP="00873AD6">
      <w:pPr>
        <w:spacing w:after="0" w:line="240" w:lineRule="auto"/>
        <w:ind w:left="720" w:hanging="720"/>
        <w:jc w:val="both"/>
        <w:rPr>
          <w:rFonts w:ascii="Calisto MT" w:hAnsi="Calisto MT"/>
          <w:sz w:val="24"/>
          <w:szCs w:val="24"/>
        </w:rPr>
      </w:pPr>
      <w:r w:rsidRPr="007B4B70">
        <w:rPr>
          <w:rFonts w:ascii="Calisto MT" w:hAnsi="Calisto MT"/>
          <w:sz w:val="24"/>
          <w:szCs w:val="24"/>
        </w:rPr>
        <w:t>Shereen, M. A., Khan, S., Kazmi, A., Bashir, N., &amp; Siddique, R. (2020). COVID-19 infection: origin, transmission, and characteristics of human coronaviruses. </w:t>
      </w:r>
      <w:r w:rsidRPr="007B4B70">
        <w:rPr>
          <w:rFonts w:ascii="Calisto MT" w:hAnsi="Calisto MT"/>
          <w:i/>
          <w:iCs/>
          <w:sz w:val="24"/>
          <w:szCs w:val="24"/>
        </w:rPr>
        <w:t>Journal of Advanced</w:t>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p>
    <w:p w:rsidR="00873AD6" w:rsidRDefault="00873AD6" w:rsidP="00873AD6">
      <w:pPr>
        <w:spacing w:after="0" w:line="240" w:lineRule="auto"/>
        <w:ind w:left="720" w:hanging="720"/>
        <w:jc w:val="both"/>
        <w:rPr>
          <w:rFonts w:ascii="Calisto MT" w:hAnsi="Calisto MT"/>
          <w:sz w:val="24"/>
          <w:szCs w:val="24"/>
        </w:rPr>
      </w:pPr>
      <w:r w:rsidRPr="00E32D2E">
        <w:rPr>
          <w:rFonts w:ascii="Calisto MT" w:hAnsi="Calisto MT"/>
          <w:sz w:val="24"/>
          <w:szCs w:val="24"/>
        </w:rPr>
        <w:t>Xu, Z., Shi, L., Wang, Y., Zhang, J., Huang, L., Zhang, C., ... &amp; Tai, Y. (2020). Pathological findings of COVID-19 associated with acute respiratory distress syndrome. </w:t>
      </w:r>
      <w:r w:rsidRPr="00E32D2E">
        <w:rPr>
          <w:rFonts w:ascii="Calisto MT" w:hAnsi="Calisto MT"/>
          <w:i/>
          <w:iCs/>
          <w:sz w:val="24"/>
          <w:szCs w:val="24"/>
        </w:rPr>
        <w:t>The Lancet respiratory medicine</w:t>
      </w:r>
      <w:r w:rsidRPr="00E32D2E">
        <w:rPr>
          <w:rFonts w:ascii="Calisto MT" w:hAnsi="Calisto MT"/>
          <w:sz w:val="24"/>
          <w:szCs w:val="24"/>
        </w:rPr>
        <w:t>, </w:t>
      </w:r>
      <w:r w:rsidRPr="00E32D2E">
        <w:rPr>
          <w:rFonts w:ascii="Calisto MT" w:hAnsi="Calisto MT"/>
          <w:i/>
          <w:iCs/>
          <w:sz w:val="24"/>
          <w:szCs w:val="24"/>
        </w:rPr>
        <w:t>8</w:t>
      </w:r>
      <w:r w:rsidRPr="00E32D2E">
        <w:rPr>
          <w:rFonts w:ascii="Calisto MT" w:hAnsi="Calisto MT"/>
          <w:sz w:val="24"/>
          <w:szCs w:val="24"/>
        </w:rPr>
        <w:t>(4), 420-422.</w:t>
      </w:r>
    </w:p>
    <w:sectPr w:rsidR="0087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FE"/>
    <w:rsid w:val="000D70F1"/>
    <w:rsid w:val="001F1181"/>
    <w:rsid w:val="00214C71"/>
    <w:rsid w:val="00216CFE"/>
    <w:rsid w:val="00250098"/>
    <w:rsid w:val="002C7437"/>
    <w:rsid w:val="00356704"/>
    <w:rsid w:val="00364F74"/>
    <w:rsid w:val="0036519C"/>
    <w:rsid w:val="003D32FE"/>
    <w:rsid w:val="0045334F"/>
    <w:rsid w:val="00477EFF"/>
    <w:rsid w:val="00526E11"/>
    <w:rsid w:val="005477AE"/>
    <w:rsid w:val="005662C7"/>
    <w:rsid w:val="005D74A8"/>
    <w:rsid w:val="005E2B69"/>
    <w:rsid w:val="006673B2"/>
    <w:rsid w:val="006A6F5E"/>
    <w:rsid w:val="006E0172"/>
    <w:rsid w:val="00725FFE"/>
    <w:rsid w:val="00743388"/>
    <w:rsid w:val="00797A0D"/>
    <w:rsid w:val="007A3D20"/>
    <w:rsid w:val="007B2CD1"/>
    <w:rsid w:val="007C5901"/>
    <w:rsid w:val="00873AD6"/>
    <w:rsid w:val="008D3D3F"/>
    <w:rsid w:val="008F348D"/>
    <w:rsid w:val="009223B9"/>
    <w:rsid w:val="00950195"/>
    <w:rsid w:val="00966A9F"/>
    <w:rsid w:val="00980825"/>
    <w:rsid w:val="009A395E"/>
    <w:rsid w:val="009C225F"/>
    <w:rsid w:val="009F794E"/>
    <w:rsid w:val="00A3461F"/>
    <w:rsid w:val="00AA6D48"/>
    <w:rsid w:val="00AC5F34"/>
    <w:rsid w:val="00AD60BA"/>
    <w:rsid w:val="00AF448F"/>
    <w:rsid w:val="00B06312"/>
    <w:rsid w:val="00B643AE"/>
    <w:rsid w:val="00B64975"/>
    <w:rsid w:val="00B7017F"/>
    <w:rsid w:val="00BD6D87"/>
    <w:rsid w:val="00BF5D0E"/>
    <w:rsid w:val="00BF6C83"/>
    <w:rsid w:val="00BF7183"/>
    <w:rsid w:val="00C45503"/>
    <w:rsid w:val="00C910BF"/>
    <w:rsid w:val="00CB5C01"/>
    <w:rsid w:val="00CE2C4E"/>
    <w:rsid w:val="00D265C7"/>
    <w:rsid w:val="00D94872"/>
    <w:rsid w:val="00DA1C44"/>
    <w:rsid w:val="00DB41F8"/>
    <w:rsid w:val="00E551B1"/>
    <w:rsid w:val="00EA79BF"/>
    <w:rsid w:val="00EB6648"/>
    <w:rsid w:val="00F45E30"/>
    <w:rsid w:val="00F4748C"/>
    <w:rsid w:val="00F9165C"/>
    <w:rsid w:val="00FA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7B49"/>
  <w15:chartTrackingRefBased/>
  <w15:docId w15:val="{A9E2641F-B8C3-4357-8486-814EC5EA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Collins-kevin Anyanwu</dc:creator>
  <cp:keywords/>
  <dc:description/>
  <cp:lastModifiedBy>Collins-kevin Anyanwu</cp:lastModifiedBy>
  <cp:revision>62</cp:revision>
  <dcterms:created xsi:type="dcterms:W3CDTF">2020-04-10T14:13:00Z</dcterms:created>
  <dcterms:modified xsi:type="dcterms:W3CDTF">2020-04-18T15:56:00Z</dcterms:modified>
</cp:coreProperties>
</file>