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1" w:rsidRPr="00072152" w:rsidRDefault="00072152">
      <w:pPr>
        <w:rPr>
          <w:sz w:val="36"/>
          <w:szCs w:val="36"/>
        </w:rPr>
      </w:pPr>
      <w:r w:rsidRPr="00072152">
        <w:rPr>
          <w:sz w:val="36"/>
          <w:szCs w:val="36"/>
        </w:rPr>
        <w:t>NAME- UROMI-OWU MERCY</w:t>
      </w:r>
    </w:p>
    <w:p w:rsidR="00072152" w:rsidRPr="00072152" w:rsidRDefault="00072152">
      <w:pPr>
        <w:rPr>
          <w:sz w:val="36"/>
          <w:szCs w:val="36"/>
        </w:rPr>
      </w:pPr>
      <w:r w:rsidRPr="00072152">
        <w:rPr>
          <w:sz w:val="36"/>
          <w:szCs w:val="36"/>
        </w:rPr>
        <w:t>MATRIC NO-18/SMS09/090</w:t>
      </w:r>
    </w:p>
    <w:p w:rsidR="00072152" w:rsidRDefault="00072152">
      <w:pPr>
        <w:rPr>
          <w:sz w:val="36"/>
          <w:szCs w:val="36"/>
        </w:rPr>
      </w:pPr>
      <w:r w:rsidRPr="00072152">
        <w:rPr>
          <w:sz w:val="36"/>
          <w:szCs w:val="36"/>
        </w:rPr>
        <w:t>DEPT- INTERNATIONAL RELATIONS</w:t>
      </w:r>
    </w:p>
    <w:p w:rsidR="00072152" w:rsidRDefault="00072152">
      <w:pPr>
        <w:rPr>
          <w:sz w:val="36"/>
          <w:szCs w:val="36"/>
        </w:rPr>
      </w:pPr>
      <w:r>
        <w:rPr>
          <w:sz w:val="36"/>
          <w:szCs w:val="36"/>
        </w:rPr>
        <w:br w:type="page"/>
      </w:r>
    </w:p>
    <w:p w:rsidR="00072152" w:rsidRPr="00AA77D0" w:rsidRDefault="00072152" w:rsidP="00072152">
      <w:pPr>
        <w:rPr>
          <w:bCs/>
        </w:rPr>
      </w:pPr>
      <w:r w:rsidRPr="00072152">
        <w:rPr>
          <w:sz w:val="24"/>
          <w:szCs w:val="24"/>
        </w:rPr>
        <w:lastRenderedPageBreak/>
        <w:t>In December 2019, a cluster of pneumonia cases from an unknown virus surfaced in Wuhan, China. Based on initial laboratory findings, the disease named Coronavirus disease 2019 (abbreviated as COVID-19), was described as an infectious disease that is caused by severe acute respiratory syndrome coronavirus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r w:rsidRPr="00072152">
        <w:rPr>
          <w:bCs/>
          <w:sz w:val="24"/>
          <w:szCs w:val="24"/>
        </w:rPr>
        <w:t>400,000 confirmed cases with over 18,000 deaths</w:t>
      </w:r>
      <w:r>
        <w:rPr>
          <w:bCs/>
          <w:sz w:val="24"/>
          <w:szCs w:val="24"/>
        </w:rPr>
        <w:t xml:space="preserve">. </w:t>
      </w:r>
      <w:r w:rsidRPr="00072152">
        <w:rPr>
          <w:bCs/>
          <w:sz w:val="24"/>
          <w:szCs w:val="24"/>
        </w:rPr>
        <w:t>Beyond the tragic health hazards and human consequences of the COVID-19 pandemic, the economic uncertainties, and disruptions that have resulted come at a significant cost to the global economy. The United Nations Trade and Development Agency (UNCTAD) put the cost of the outbreak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w:t>
      </w:r>
      <w:r w:rsidR="00AA77D0">
        <w:rPr>
          <w:bCs/>
          <w:sz w:val="24"/>
          <w:szCs w:val="24"/>
        </w:rPr>
        <w:t xml:space="preserve">. </w:t>
      </w:r>
      <w:r w:rsidRPr="00072152">
        <w:rPr>
          <w:bCs/>
        </w:rPr>
        <w:t>The tumultuous events that COVID-19 had spread across the globe cut across every facet of human existence and the consequences may linger </w:t>
      </w:r>
      <w:r w:rsidRPr="00AA77D0">
        <w:rPr>
          <w:bCs/>
        </w:rPr>
        <w:t>beyond the</w:t>
      </w:r>
      <w:r w:rsidRPr="00AA77D0">
        <w:rPr>
          <w:b/>
          <w:bCs/>
        </w:rPr>
        <w:t xml:space="preserve"> </w:t>
      </w:r>
      <w:r w:rsidRPr="00AA77D0">
        <w:rPr>
          <w:bCs/>
        </w:rPr>
        <w:t>second half of</w:t>
      </w:r>
      <w:r w:rsidRPr="00AA77D0">
        <w:rPr>
          <w:b/>
          <w:bCs/>
        </w:rPr>
        <w:t xml:space="preserve"> </w:t>
      </w:r>
      <w:r w:rsidRPr="00AA77D0">
        <w:rPr>
          <w:bCs/>
        </w:rPr>
        <w:t>2020.</w:t>
      </w:r>
    </w:p>
    <w:p w:rsidR="00AA77D0" w:rsidRPr="00AA77D0" w:rsidRDefault="00072152" w:rsidP="00AA77D0">
      <w:pPr>
        <w:rPr>
          <w:bCs/>
        </w:rPr>
      </w:pPr>
      <w:r w:rsidRPr="00072152">
        <w:rPr>
          <w:bCs/>
          <w:sz w:val="24"/>
          <w:szCs w:val="24"/>
        </w:rPr>
        <w:t>The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w:t>
      </w:r>
      <w:r w:rsidR="00AA77D0">
        <w:rPr>
          <w:bCs/>
          <w:sz w:val="24"/>
          <w:szCs w:val="24"/>
        </w:rPr>
        <w:t xml:space="preserve">ce that has started to dive. </w:t>
      </w:r>
      <w:r w:rsidR="00AA77D0" w:rsidRPr="00AA77D0">
        <w:rPr>
          <w:bCs/>
        </w:rPr>
        <w:t>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 Also, the pandemic is placing up to 8 million jobs in the</w:t>
      </w:r>
      <w:r w:rsidR="00AA77D0" w:rsidRPr="00AA77D0">
        <w:rPr>
          <w:b/>
          <w:bCs/>
        </w:rPr>
        <w:t xml:space="preserve"> </w:t>
      </w:r>
      <w:r w:rsidR="00AA77D0" w:rsidRPr="00AA77D0">
        <w:rPr>
          <w:bCs/>
        </w:rPr>
        <w:t>leisure and hospitality sector at risk, with travel crashes and cancellations expected to continue. Moody’s Analytics, a rating agency, stated that more than half of the jobs in the United States which is about 80 million may be in jeopardy.</w:t>
      </w:r>
    </w:p>
    <w:p w:rsidR="00AA77D0" w:rsidRPr="00AA77D0" w:rsidRDefault="00AA77D0" w:rsidP="00AA77D0">
      <w:pPr>
        <w:rPr>
          <w:bCs/>
        </w:rPr>
      </w:pPr>
      <w:r w:rsidRPr="00AA77D0">
        <w:rPr>
          <w:bCs/>
          <w:sz w:val="24"/>
          <w:szCs w:val="24"/>
        </w:rPr>
        <w:t xml:space="preserve">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w:t>
      </w:r>
      <w:r w:rsidRPr="00AA77D0">
        <w:rPr>
          <w:bCs/>
          <w:sz w:val="24"/>
          <w:szCs w:val="24"/>
        </w:rPr>
        <w:lastRenderedPageBreak/>
        <w:t>below their capacity by taking a few regular health-related cases or shutting down. What could be more devastating is the fact that the economic pains that accompanied the virus might not go away soon as envisaged</w:t>
      </w:r>
      <w:r>
        <w:rPr>
          <w:bCs/>
          <w:sz w:val="24"/>
          <w:szCs w:val="24"/>
        </w:rPr>
        <w:t xml:space="preserve">. </w:t>
      </w:r>
      <w:r w:rsidRPr="00AA77D0">
        <w:rPr>
          <w:bCs/>
          <w:sz w:val="24"/>
          <w:szCs w:val="24"/>
        </w:rPr>
        <w:t>The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r w:rsidRPr="00AA77D0">
        <w:rPr>
          <w:rFonts w:ascii="Karla" w:eastAsia="Times New Roman" w:hAnsi="Karla" w:cs="Times New Roman"/>
          <w:color w:val="555555"/>
          <w:sz w:val="30"/>
          <w:szCs w:val="30"/>
        </w:rPr>
        <w:t xml:space="preserve"> </w:t>
      </w:r>
      <w:r w:rsidRPr="00AA77D0">
        <w:rPr>
          <w:bCs/>
        </w:rPr>
        <w:t>For most developing economies, the odds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AA77D0" w:rsidRPr="00AA77D0" w:rsidRDefault="00AA77D0" w:rsidP="00AA77D0">
      <w:pPr>
        <w:rPr>
          <w:bCs/>
          <w:sz w:val="24"/>
          <w:szCs w:val="24"/>
        </w:rPr>
      </w:pPr>
      <w:r w:rsidRPr="00AA77D0">
        <w:rPr>
          <w:bCs/>
          <w:sz w:val="24"/>
          <w:szCs w:val="24"/>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r w:rsidRPr="00AA77D0">
        <w:rPr>
          <w:rFonts w:ascii="Karla" w:hAnsi="Karla"/>
          <w:color w:val="555555"/>
          <w:sz w:val="30"/>
          <w:szCs w:val="30"/>
          <w:shd w:val="clear" w:color="auto" w:fill="FFFFFF"/>
        </w:rPr>
        <w:t xml:space="preserve"> </w:t>
      </w:r>
      <w:r w:rsidRPr="00AA77D0">
        <w:rPr>
          <w:bCs/>
          <w:sz w:val="24"/>
          <w:szCs w:val="24"/>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rsidR="00AA77D0" w:rsidRPr="00AA77D0" w:rsidRDefault="00AA77D0" w:rsidP="00AA77D0">
      <w:pPr>
        <w:rPr>
          <w:bCs/>
          <w:sz w:val="24"/>
          <w:szCs w:val="24"/>
        </w:rPr>
      </w:pPr>
    </w:p>
    <w:p w:rsidR="00072152" w:rsidRPr="00072152" w:rsidRDefault="00072152" w:rsidP="00072152">
      <w:pPr>
        <w:rPr>
          <w:bCs/>
          <w:sz w:val="24"/>
          <w:szCs w:val="24"/>
        </w:rPr>
      </w:pPr>
    </w:p>
    <w:p w:rsidR="00072152" w:rsidRPr="00072152" w:rsidRDefault="00072152">
      <w:pPr>
        <w:rPr>
          <w:sz w:val="24"/>
          <w:szCs w:val="24"/>
        </w:rPr>
      </w:pPr>
    </w:p>
    <w:p w:rsidR="00272EAC" w:rsidRPr="00272EAC" w:rsidRDefault="00272EAC" w:rsidP="00272EAC">
      <w:pPr>
        <w:rPr>
          <w:sz w:val="24"/>
          <w:szCs w:val="24"/>
        </w:rPr>
      </w:pPr>
      <w:r>
        <w:rPr>
          <w:sz w:val="24"/>
          <w:szCs w:val="24"/>
        </w:rPr>
        <w:lastRenderedPageBreak/>
        <w:t>M</w:t>
      </w:r>
      <w:r w:rsidRPr="00272EAC">
        <w:rPr>
          <w:sz w:val="24"/>
          <w:szCs w:val="24"/>
        </w:rPr>
        <w:t>ost governments around the world have temporarily closed educational institutions in an attempt to contain the spread of the COVID-19 pandemic.</w:t>
      </w:r>
    </w:p>
    <w:p w:rsidR="00272EAC" w:rsidRPr="00272EAC" w:rsidRDefault="00272EAC" w:rsidP="00272EAC">
      <w:pPr>
        <w:rPr>
          <w:sz w:val="24"/>
          <w:szCs w:val="24"/>
        </w:rPr>
      </w:pPr>
      <w:r w:rsidRPr="00272EAC">
        <w:rPr>
          <w:sz w:val="24"/>
          <w:szCs w:val="24"/>
        </w:rPr>
        <w:t>These nationwide closures are impacting over 91% of the world’s student population. Several other countries have implemented localized closures impacting millions of additional learners.</w:t>
      </w:r>
    </w:p>
    <w:p w:rsidR="00272EAC" w:rsidRPr="00272EAC" w:rsidRDefault="00272EAC" w:rsidP="00272EAC">
      <w:r w:rsidRPr="00272EAC">
        <w:rPr>
          <w:sz w:val="24"/>
          <w:szCs w:val="24"/>
        </w:rPr>
        <w:t>UNESCO is supporting countries in their efforts to mitigate the immediate impact of school closures, particularly for more vulnerable and disadvantaged communities, and to facilitate the continuity of education for all through remote learning.</w:t>
      </w:r>
      <w:r w:rsidRPr="00272EAC">
        <w:rPr>
          <w:rFonts w:ascii="Times New Roman" w:eastAsia="Times New Roman" w:hAnsi="Times New Roman" w:cs="Times New Roman"/>
          <w:color w:val="000000"/>
          <w:sz w:val="24"/>
          <w:szCs w:val="24"/>
        </w:rPr>
        <w:t xml:space="preserve"> </w:t>
      </w:r>
      <w:r w:rsidRPr="00272EAC">
        <w:t>The bipartisan answer to the coronavirus pandemic seems to be: shutter the economy, then bail out everyone who is suffering economic pain. Of course, as RealClearMarkets editor John Tamny has observed</w:t>
      </w:r>
      <w:r>
        <w:t>,</w:t>
      </w:r>
      <w:r w:rsidRPr="00272EAC">
        <w:t xml:space="preserve"> if we bail out everyone, we bail out no one. Instead of directly confronting the cause of the pandemic spread of COVID-19, we are inflicting vast damage on great swaths of the economy, likely bankrupting millions of small businesses, which we then seek to fix with massive fiscal and monetary stimulus. Stimulus can only bolster economic activity when slack resources – including the newly unemployed – can be put back to work in a timely way, to produce goods and services. </w:t>
      </w:r>
    </w:p>
    <w:p w:rsidR="00902202" w:rsidRDefault="00272EAC" w:rsidP="00272EAC">
      <w:pPr>
        <w:rPr>
          <w:sz w:val="24"/>
          <w:szCs w:val="24"/>
        </w:rPr>
      </w:pPr>
      <w:r w:rsidRPr="00272EAC">
        <w:rPr>
          <w:sz w:val="24"/>
          <w:szCs w:val="24"/>
        </w:rPr>
        <w:t>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w:t>
      </w:r>
      <w:r w:rsidRPr="00272EAC">
        <w:rPr>
          <w:color w:val="000000"/>
          <w:shd w:val="clear" w:color="auto" w:fill="FFFFFF"/>
        </w:rPr>
        <w:t xml:space="preserve"> </w:t>
      </w:r>
      <w:r w:rsidRPr="00272EAC">
        <w:rPr>
          <w:sz w:val="24"/>
          <w:szCs w:val="24"/>
        </w:rPr>
        <w:t xml:space="preserve">The health of the economy is not as important as the health of the citizenry. However, the two are interconnected. You can’t crush the economy without exacting a human toll. In a 2018 academic article, Taiwanese researchers Yu-Hui Lin and Wen-Yi Chen showed a link between unemployment and suicide, one that may linger for two to three years after the job market has improved. These findings suggest that even a short, sharp recession has lasting consequences. In rough terms, they postulate that each 1% rise in unemployment leads to one additional suicide per 100,000 people, and a rise in divorces of up to 1%. If unemployment jumps by 5% in the current shutdown of the U.S. economy, that would translate into some 16,500 additional suicides and up to 3 million divorces. The human toll is very real. Some of the first actions taken by governments are the closing of schools. </w:t>
      </w:r>
    </w:p>
    <w:p w:rsidR="00272EAC" w:rsidRPr="00272EAC" w:rsidRDefault="00272EAC" w:rsidP="00272EAC">
      <w:pPr>
        <w:rPr>
          <w:sz w:val="24"/>
          <w:szCs w:val="24"/>
        </w:rPr>
      </w:pPr>
      <w:r w:rsidRPr="00272EAC">
        <w:rPr>
          <w:sz w:val="24"/>
          <w:szCs w:val="24"/>
        </w:rPr>
        <w:t>The evidence that mandatory school closures reduce the number of cases and, ultimately, mortality comes from experience with influenza or from models that do not include the effect of school closure on the health-care labour force. The potential benefits from school closures need to be weighed against costs of health-care worker absenteeism associated with additional child-care obligations. In this study, we aimed to measure child-care obligations for US health-care workers arising from school closures when these are used as a social distancing measure. We then assessed how important the contribution of health-care workers would have to be in reducing mortality for their absenteeism due to child-care obligations to undo the benefits of school closures in reducing the number of cases.</w:t>
      </w:r>
    </w:p>
    <w:p w:rsidR="00072152" w:rsidRPr="00EE3C3C" w:rsidRDefault="00902202">
      <w:pPr>
        <w:rPr>
          <w:sz w:val="24"/>
          <w:szCs w:val="24"/>
        </w:rPr>
      </w:pPr>
      <w:r>
        <w:rPr>
          <w:sz w:val="24"/>
          <w:szCs w:val="24"/>
        </w:rPr>
        <w:lastRenderedPageBreak/>
        <w:t xml:space="preserve">It is </w:t>
      </w:r>
      <w:r w:rsidRPr="00902202">
        <w:rPr>
          <w:sz w:val="24"/>
          <w:szCs w:val="24"/>
        </w:rPr>
        <w:t>estimated that, combined with reasonable parameters for COVID-19 such as a 15·0% case reduction from school closings and 2·0% baseline mortality rate, a 15·0% decrease in the health-care labour force would need to decrease the survival probability per percent health-care worker lost by 17·6% for a school closure to increase cumulative mortality. Our model estimates that if the infection mortality rate of COVID-19 increases from 2·00% to 2·35% when the health-care workforce declines by 15·0%, school closures could lead to a greater num</w:t>
      </w:r>
      <w:r w:rsidR="00AE768D">
        <w:rPr>
          <w:sz w:val="24"/>
          <w:szCs w:val="24"/>
        </w:rPr>
        <w:t>ber of deaths than they prevent.</w:t>
      </w:r>
      <w:bookmarkStart w:id="0" w:name="_GoBack"/>
      <w:bookmarkEnd w:id="0"/>
    </w:p>
    <w:sectPr w:rsidR="00072152" w:rsidRPr="00EE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52"/>
    <w:rsid w:val="00072152"/>
    <w:rsid w:val="00272EAC"/>
    <w:rsid w:val="003D61A1"/>
    <w:rsid w:val="00902202"/>
    <w:rsid w:val="00AA77D0"/>
    <w:rsid w:val="00AE768D"/>
    <w:rsid w:val="00E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52"/>
    <w:rPr>
      <w:color w:val="0000FF" w:themeColor="hyperlink"/>
      <w:u w:val="single"/>
    </w:rPr>
  </w:style>
  <w:style w:type="paragraph" w:styleId="NormalWeb">
    <w:name w:val="Normal (Web)"/>
    <w:basedOn w:val="Normal"/>
    <w:uiPriority w:val="99"/>
    <w:semiHidden/>
    <w:unhideWhenUsed/>
    <w:rsid w:val="000721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52"/>
    <w:rPr>
      <w:color w:val="0000FF" w:themeColor="hyperlink"/>
      <w:u w:val="single"/>
    </w:rPr>
  </w:style>
  <w:style w:type="paragraph" w:styleId="NormalWeb">
    <w:name w:val="Normal (Web)"/>
    <w:basedOn w:val="Normal"/>
    <w:uiPriority w:val="99"/>
    <w:semiHidden/>
    <w:unhideWhenUsed/>
    <w:rsid w:val="000721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1944">
      <w:bodyDiv w:val="1"/>
      <w:marLeft w:val="0"/>
      <w:marRight w:val="0"/>
      <w:marTop w:val="0"/>
      <w:marBottom w:val="0"/>
      <w:divBdr>
        <w:top w:val="none" w:sz="0" w:space="0" w:color="auto"/>
        <w:left w:val="none" w:sz="0" w:space="0" w:color="auto"/>
        <w:bottom w:val="none" w:sz="0" w:space="0" w:color="auto"/>
        <w:right w:val="none" w:sz="0" w:space="0" w:color="auto"/>
      </w:divBdr>
    </w:div>
    <w:div w:id="608511591">
      <w:bodyDiv w:val="1"/>
      <w:marLeft w:val="0"/>
      <w:marRight w:val="0"/>
      <w:marTop w:val="0"/>
      <w:marBottom w:val="0"/>
      <w:divBdr>
        <w:top w:val="none" w:sz="0" w:space="0" w:color="auto"/>
        <w:left w:val="none" w:sz="0" w:space="0" w:color="auto"/>
        <w:bottom w:val="none" w:sz="0" w:space="0" w:color="auto"/>
        <w:right w:val="none" w:sz="0" w:space="0" w:color="auto"/>
      </w:divBdr>
    </w:div>
    <w:div w:id="932081568">
      <w:bodyDiv w:val="1"/>
      <w:marLeft w:val="0"/>
      <w:marRight w:val="0"/>
      <w:marTop w:val="0"/>
      <w:marBottom w:val="0"/>
      <w:divBdr>
        <w:top w:val="none" w:sz="0" w:space="0" w:color="auto"/>
        <w:left w:val="none" w:sz="0" w:space="0" w:color="auto"/>
        <w:bottom w:val="none" w:sz="0" w:space="0" w:color="auto"/>
        <w:right w:val="none" w:sz="0" w:space="0" w:color="auto"/>
      </w:divBdr>
    </w:div>
    <w:div w:id="1741440868">
      <w:bodyDiv w:val="1"/>
      <w:marLeft w:val="0"/>
      <w:marRight w:val="0"/>
      <w:marTop w:val="0"/>
      <w:marBottom w:val="0"/>
      <w:divBdr>
        <w:top w:val="none" w:sz="0" w:space="0" w:color="auto"/>
        <w:left w:val="none" w:sz="0" w:space="0" w:color="auto"/>
        <w:bottom w:val="none" w:sz="0" w:space="0" w:color="auto"/>
        <w:right w:val="none" w:sz="0" w:space="0" w:color="auto"/>
      </w:divBdr>
    </w:div>
    <w:div w:id="19026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I. Uromi-Owu</dc:creator>
  <cp:lastModifiedBy>Mercy I. Uromi-Owu</cp:lastModifiedBy>
  <cp:revision>5</cp:revision>
  <dcterms:created xsi:type="dcterms:W3CDTF">2020-04-19T03:43:00Z</dcterms:created>
  <dcterms:modified xsi:type="dcterms:W3CDTF">2020-04-19T04:37:00Z</dcterms:modified>
</cp:coreProperties>
</file>