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1D81" w14:textId="6F8FAF07" w:rsidR="00C86CE1" w:rsidRDefault="00C86CE1">
      <w:pPr>
        <w:pStyle w:val="Heading2"/>
        <w:rPr>
          <w:rStyle w:val="StrongEmphasis"/>
          <w:b/>
          <w:color w:val="000000"/>
          <w:sz w:val="24"/>
          <w:szCs w:val="24"/>
          <w:u w:val="single"/>
        </w:rPr>
      </w:pPr>
      <w:bookmarkStart w:id="0" w:name="_GoBack"/>
      <w:bookmarkEnd w:id="0"/>
      <w:r>
        <w:rPr>
          <w:rStyle w:val="StrongEmphasis"/>
          <w:b/>
          <w:color w:val="000000"/>
          <w:sz w:val="24"/>
          <w:szCs w:val="24"/>
          <w:u w:val="single"/>
        </w:rPr>
        <w:t xml:space="preserve">Name: </w:t>
      </w:r>
      <w:proofErr w:type="spellStart"/>
      <w:r>
        <w:rPr>
          <w:rStyle w:val="StrongEmphasis"/>
          <w:b/>
          <w:color w:val="000000"/>
          <w:sz w:val="24"/>
          <w:szCs w:val="24"/>
          <w:u w:val="single"/>
        </w:rPr>
        <w:t>Omoregie</w:t>
      </w:r>
      <w:proofErr w:type="spellEnd"/>
      <w:r>
        <w:rPr>
          <w:rStyle w:val="StrongEmphasis"/>
          <w:b/>
          <w:color w:val="000000"/>
          <w:sz w:val="24"/>
          <w:szCs w:val="24"/>
          <w:u w:val="single"/>
        </w:rPr>
        <w:t xml:space="preserve"> </w:t>
      </w:r>
      <w:proofErr w:type="spellStart"/>
      <w:r>
        <w:rPr>
          <w:rStyle w:val="StrongEmphasis"/>
          <w:b/>
          <w:color w:val="000000"/>
          <w:sz w:val="24"/>
          <w:szCs w:val="24"/>
          <w:u w:val="single"/>
        </w:rPr>
        <w:t>Esohe</w:t>
      </w:r>
      <w:proofErr w:type="spellEnd"/>
      <w:r>
        <w:rPr>
          <w:rStyle w:val="StrongEmphasis"/>
          <w:b/>
          <w:color w:val="000000"/>
          <w:sz w:val="24"/>
          <w:szCs w:val="24"/>
          <w:u w:val="single"/>
        </w:rPr>
        <w:t xml:space="preserve"> Ashley-</w:t>
      </w:r>
      <w:proofErr w:type="spellStart"/>
      <w:r>
        <w:rPr>
          <w:rStyle w:val="StrongEmphasis"/>
          <w:b/>
          <w:color w:val="000000"/>
          <w:sz w:val="24"/>
          <w:szCs w:val="24"/>
          <w:u w:val="single"/>
        </w:rPr>
        <w:t>Christabelle</w:t>
      </w:r>
      <w:proofErr w:type="spellEnd"/>
      <w:r>
        <w:rPr>
          <w:rStyle w:val="StrongEmphasis"/>
          <w:b/>
          <w:color w:val="000000"/>
          <w:sz w:val="24"/>
          <w:szCs w:val="24"/>
          <w:u w:val="single"/>
        </w:rPr>
        <w:t xml:space="preserve"> </w:t>
      </w:r>
    </w:p>
    <w:p w14:paraId="763A93C1" w14:textId="01984983" w:rsidR="00C86CE1" w:rsidRPr="001541DA" w:rsidRDefault="00E235ED" w:rsidP="00C86CE1">
      <w:pPr>
        <w:pStyle w:val="Textbody"/>
        <w:rPr>
          <w:u w:val="single"/>
        </w:rPr>
      </w:pPr>
      <w:r w:rsidRPr="001541DA">
        <w:rPr>
          <w:u w:val="single"/>
        </w:rPr>
        <w:t>Matric No: 19/Law01/215</w:t>
      </w:r>
    </w:p>
    <w:p w14:paraId="4A48C4A3" w14:textId="7530EC43" w:rsidR="00E235ED" w:rsidRDefault="001541DA" w:rsidP="00C86CE1">
      <w:pPr>
        <w:pStyle w:val="Textbody"/>
        <w:rPr>
          <w:u w:val="single"/>
        </w:rPr>
      </w:pPr>
      <w:r>
        <w:rPr>
          <w:u w:val="single"/>
        </w:rPr>
        <w:t>Course Name: Legal Method II</w:t>
      </w:r>
    </w:p>
    <w:p w14:paraId="70E4C245" w14:textId="7DD5619E" w:rsidR="001541DA" w:rsidRDefault="001541DA" w:rsidP="00C86CE1">
      <w:pPr>
        <w:pStyle w:val="Textbody"/>
        <w:rPr>
          <w:u w:val="single"/>
        </w:rPr>
      </w:pPr>
      <w:r>
        <w:rPr>
          <w:u w:val="single"/>
        </w:rPr>
        <w:t>Course Code: Law 102</w:t>
      </w:r>
    </w:p>
    <w:p w14:paraId="7E0EEEA5" w14:textId="1DE620B6" w:rsidR="001541DA" w:rsidRDefault="001541DA" w:rsidP="00C86CE1">
      <w:pPr>
        <w:pStyle w:val="Textbody"/>
        <w:rPr>
          <w:u w:val="single"/>
        </w:rPr>
      </w:pPr>
    </w:p>
    <w:p w14:paraId="5B5E2EB0" w14:textId="77777777" w:rsidR="001541DA" w:rsidRPr="001541DA" w:rsidRDefault="001541DA" w:rsidP="001541DA">
      <w:pPr>
        <w:pStyle w:val="Textbody"/>
        <w:rPr>
          <w:u w:val="single"/>
        </w:rPr>
      </w:pPr>
      <w:r w:rsidRPr="001541DA">
        <w:rPr>
          <w:u w:val="single"/>
        </w:rPr>
        <w:t>Question</w:t>
      </w:r>
    </w:p>
    <w:p w14:paraId="2081A7D5" w14:textId="63386669" w:rsidR="001541DA" w:rsidRDefault="001541DA" w:rsidP="00C86CE1">
      <w:pPr>
        <w:pStyle w:val="Textbody"/>
        <w:rPr>
          <w:u w:val="single"/>
        </w:rPr>
      </w:pPr>
      <w:r w:rsidRPr="001541DA">
        <w:rPr>
          <w:u w:val="single"/>
        </w:rPr>
        <w:t>Discuss secondary sources of law in Nigeria. Times New Roman, front 12, justify your work.</w:t>
      </w:r>
    </w:p>
    <w:p w14:paraId="05BDAD21" w14:textId="2D776F5F" w:rsidR="001541DA" w:rsidRDefault="001541DA" w:rsidP="00C86CE1">
      <w:pPr>
        <w:pStyle w:val="Textbody"/>
      </w:pPr>
    </w:p>
    <w:p w14:paraId="59F86B4C" w14:textId="2A393002" w:rsidR="00031B1B" w:rsidRDefault="00031B1B" w:rsidP="00C86CE1">
      <w:pPr>
        <w:pStyle w:val="Textbody"/>
      </w:pPr>
    </w:p>
    <w:p w14:paraId="6EF377B1" w14:textId="6F7468CA" w:rsidR="00031B1B" w:rsidRPr="00031B1B" w:rsidRDefault="00031B1B" w:rsidP="00C86CE1">
      <w:pPr>
        <w:pStyle w:val="Textbody"/>
        <w:rPr>
          <w:u w:val="single"/>
        </w:rPr>
      </w:pPr>
      <w:r>
        <w:rPr>
          <w:u w:val="single"/>
        </w:rPr>
        <w:t xml:space="preserve">Answers. </w:t>
      </w:r>
    </w:p>
    <w:p w14:paraId="28CA7F06" w14:textId="77777777" w:rsidR="00C86CE1" w:rsidRDefault="00C86CE1">
      <w:pPr>
        <w:pStyle w:val="Heading2"/>
        <w:rPr>
          <w:rStyle w:val="StrongEmphasis"/>
          <w:b/>
          <w:color w:val="000000"/>
          <w:sz w:val="24"/>
          <w:szCs w:val="24"/>
        </w:rPr>
      </w:pPr>
    </w:p>
    <w:p w14:paraId="56B5C466" w14:textId="1DD5A93E" w:rsidR="0015033F" w:rsidRDefault="00834871">
      <w:pPr>
        <w:pStyle w:val="Heading2"/>
      </w:pPr>
      <w:r>
        <w:rPr>
          <w:rStyle w:val="StrongEmphasis"/>
          <w:b/>
          <w:color w:val="000000"/>
          <w:sz w:val="24"/>
          <w:szCs w:val="24"/>
        </w:rPr>
        <w:t>What Are The Sources Of Nigerian Law?</w:t>
      </w:r>
    </w:p>
    <w:p w14:paraId="163C58FF" w14:textId="77777777" w:rsidR="0015033F" w:rsidRDefault="00834871">
      <w:pPr>
        <w:pStyle w:val="Textbody"/>
        <w:spacing w:after="336"/>
        <w:rPr>
          <w:color w:val="000000"/>
        </w:rPr>
      </w:pPr>
      <w:r>
        <w:rPr>
          <w:color w:val="000000"/>
        </w:rPr>
        <w:t>The law is an abstract term. In order to know what comprises the law, you have to derive it from various places. These places from which the law is derived are aptly described as the sources of law. Sources of law can be defined</w:t>
      </w:r>
      <w:bookmarkStart w:id="1" w:name="more-573"/>
      <w:bookmarkEnd w:id="1"/>
      <w:r>
        <w:rPr>
          <w:color w:val="000000"/>
        </w:rPr>
        <w:t xml:space="preserve"> as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secondary.</w:t>
      </w:r>
    </w:p>
    <w:p w14:paraId="242EDD3F" w14:textId="77777777" w:rsidR="0015033F" w:rsidRDefault="00834871">
      <w:pPr>
        <w:pStyle w:val="Textbody"/>
        <w:spacing w:after="336"/>
        <w:rPr>
          <w:color w:val="000000"/>
        </w:rPr>
      </w:pPr>
      <w:r>
        <w:rPr>
          <w:color w:val="000000"/>
        </w:rPr>
        <w:t>Primary sources of Nigerian law can simply be regarded as those sources whose provisions are binding on all courts throughout Nigeria. They include:</w:t>
      </w:r>
    </w:p>
    <w:p w14:paraId="34EA6C9D" w14:textId="77777777" w:rsidR="0015033F" w:rsidRDefault="00834871">
      <w:pPr>
        <w:pStyle w:val="Textbody"/>
        <w:numPr>
          <w:ilvl w:val="0"/>
          <w:numId w:val="1"/>
        </w:numPr>
        <w:spacing w:after="120"/>
        <w:jc w:val="both"/>
        <w:rPr>
          <w:color w:val="000000"/>
        </w:rPr>
      </w:pPr>
      <w:r>
        <w:rPr>
          <w:color w:val="000000"/>
        </w:rPr>
        <w:t xml:space="preserve"> Received English Law</w:t>
      </w:r>
    </w:p>
    <w:p w14:paraId="20559BC1" w14:textId="77777777" w:rsidR="0015033F" w:rsidRDefault="00834871">
      <w:pPr>
        <w:pStyle w:val="Textbody"/>
        <w:numPr>
          <w:ilvl w:val="0"/>
          <w:numId w:val="1"/>
        </w:numPr>
        <w:spacing w:after="120"/>
        <w:jc w:val="both"/>
        <w:rPr>
          <w:color w:val="000000"/>
        </w:rPr>
      </w:pPr>
      <w:r>
        <w:rPr>
          <w:color w:val="000000"/>
        </w:rPr>
        <w:t xml:space="preserve"> Case Law</w:t>
      </w:r>
    </w:p>
    <w:p w14:paraId="0F44F0FD" w14:textId="77777777" w:rsidR="0015033F" w:rsidRDefault="00834871">
      <w:pPr>
        <w:pStyle w:val="Textbody"/>
        <w:numPr>
          <w:ilvl w:val="0"/>
          <w:numId w:val="1"/>
        </w:numPr>
        <w:spacing w:after="120"/>
        <w:jc w:val="both"/>
        <w:rPr>
          <w:color w:val="000000"/>
        </w:rPr>
      </w:pPr>
      <w:r>
        <w:rPr>
          <w:color w:val="000000"/>
        </w:rPr>
        <w:t xml:space="preserve"> Nigerian Legislation</w:t>
      </w:r>
    </w:p>
    <w:p w14:paraId="62DDE463" w14:textId="77777777" w:rsidR="0015033F" w:rsidRDefault="00834871">
      <w:pPr>
        <w:pStyle w:val="Textbody"/>
        <w:numPr>
          <w:ilvl w:val="0"/>
          <w:numId w:val="1"/>
        </w:numPr>
        <w:spacing w:after="120"/>
        <w:jc w:val="both"/>
        <w:rPr>
          <w:color w:val="000000"/>
        </w:rPr>
      </w:pPr>
      <w:r>
        <w:rPr>
          <w:color w:val="000000"/>
        </w:rPr>
        <w:t xml:space="preserve"> Customary laws.</w:t>
      </w:r>
    </w:p>
    <w:p w14:paraId="758F98EE" w14:textId="77777777" w:rsidR="0015033F" w:rsidRDefault="00834871">
      <w:pPr>
        <w:pStyle w:val="Textbody"/>
        <w:numPr>
          <w:ilvl w:val="0"/>
          <w:numId w:val="1"/>
        </w:numPr>
        <w:spacing w:after="120"/>
        <w:jc w:val="both"/>
        <w:rPr>
          <w:color w:val="000000"/>
        </w:rPr>
      </w:pPr>
      <w:r>
        <w:rPr>
          <w:color w:val="000000"/>
        </w:rPr>
        <w:t xml:space="preserve"> International laws.</w:t>
      </w:r>
    </w:p>
    <w:p w14:paraId="20EAE30A" w14:textId="77777777" w:rsidR="0015033F" w:rsidRDefault="00834871">
      <w:pPr>
        <w:pStyle w:val="Textbody"/>
        <w:spacing w:after="336"/>
        <w:rPr>
          <w:color w:val="000000"/>
        </w:rPr>
      </w:pPr>
      <w:r>
        <w:rPr>
          <w:color w:val="000000"/>
        </w:rPr>
        <w:t>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14:paraId="6E14C4C8" w14:textId="77777777" w:rsidR="0015033F" w:rsidRDefault="00834871">
      <w:pPr>
        <w:pStyle w:val="Textbody"/>
        <w:numPr>
          <w:ilvl w:val="0"/>
          <w:numId w:val="2"/>
        </w:numPr>
        <w:spacing w:after="120"/>
        <w:jc w:val="both"/>
        <w:rPr>
          <w:color w:val="000000"/>
        </w:rPr>
      </w:pPr>
      <w:r>
        <w:rPr>
          <w:color w:val="000000"/>
        </w:rPr>
        <w:t xml:space="preserve"> Law Reports</w:t>
      </w:r>
    </w:p>
    <w:p w14:paraId="2DCE17CE" w14:textId="77777777" w:rsidR="0015033F" w:rsidRDefault="00834871">
      <w:pPr>
        <w:pStyle w:val="Textbody"/>
        <w:numPr>
          <w:ilvl w:val="0"/>
          <w:numId w:val="2"/>
        </w:numPr>
        <w:spacing w:after="120"/>
        <w:jc w:val="both"/>
        <w:rPr>
          <w:color w:val="000000"/>
        </w:rPr>
      </w:pPr>
      <w:r>
        <w:rPr>
          <w:color w:val="000000"/>
        </w:rPr>
        <w:t xml:space="preserve"> Text Books and Treatises</w:t>
      </w:r>
    </w:p>
    <w:p w14:paraId="56740A15" w14:textId="77777777" w:rsidR="0015033F" w:rsidRDefault="00834871">
      <w:pPr>
        <w:pStyle w:val="Textbody"/>
        <w:numPr>
          <w:ilvl w:val="0"/>
          <w:numId w:val="2"/>
        </w:numPr>
        <w:spacing w:after="120"/>
        <w:jc w:val="both"/>
        <w:rPr>
          <w:color w:val="000000"/>
        </w:rPr>
      </w:pPr>
      <w:r>
        <w:rPr>
          <w:color w:val="000000"/>
        </w:rPr>
        <w:t xml:space="preserve"> Periodicals, Journals, and Legal Digests</w:t>
      </w:r>
    </w:p>
    <w:p w14:paraId="3CB3B613" w14:textId="77777777" w:rsidR="0015033F" w:rsidRDefault="00834871">
      <w:pPr>
        <w:pStyle w:val="Textbody"/>
        <w:numPr>
          <w:ilvl w:val="0"/>
          <w:numId w:val="2"/>
        </w:numPr>
        <w:spacing w:after="120"/>
        <w:jc w:val="both"/>
        <w:rPr>
          <w:color w:val="000000"/>
        </w:rPr>
      </w:pPr>
      <w:r>
        <w:rPr>
          <w:color w:val="000000"/>
        </w:rPr>
        <w:lastRenderedPageBreak/>
        <w:t xml:space="preserve"> Casebooks</w:t>
      </w:r>
    </w:p>
    <w:p w14:paraId="555CC6B3" w14:textId="77777777" w:rsidR="0015033F" w:rsidRDefault="00834871">
      <w:pPr>
        <w:pStyle w:val="Textbody"/>
        <w:numPr>
          <w:ilvl w:val="0"/>
          <w:numId w:val="2"/>
        </w:numPr>
        <w:spacing w:after="120"/>
        <w:jc w:val="both"/>
        <w:rPr>
          <w:color w:val="000000"/>
        </w:rPr>
      </w:pPr>
      <w:r>
        <w:rPr>
          <w:color w:val="000000"/>
        </w:rPr>
        <w:t xml:space="preserve"> Legal Dictionaries</w:t>
      </w:r>
    </w:p>
    <w:p w14:paraId="633FAC06" w14:textId="77777777" w:rsidR="0015033F" w:rsidRDefault="00834871">
      <w:pPr>
        <w:pStyle w:val="Textbody"/>
        <w:numPr>
          <w:ilvl w:val="0"/>
          <w:numId w:val="2"/>
        </w:numPr>
        <w:spacing w:after="120"/>
        <w:jc w:val="both"/>
        <w:rPr>
          <w:color w:val="000000"/>
        </w:rPr>
      </w:pPr>
      <w:r>
        <w:rPr>
          <w:color w:val="000000"/>
        </w:rPr>
        <w:t xml:space="preserve"> Newspapers</w:t>
      </w:r>
    </w:p>
    <w:p w14:paraId="1CB74AB5" w14:textId="77777777" w:rsidR="0015033F" w:rsidRDefault="00834871">
      <w:pPr>
        <w:pStyle w:val="Textbody"/>
        <w:spacing w:after="336"/>
        <w:rPr>
          <w:color w:val="000000"/>
        </w:rPr>
      </w:pPr>
      <w:r>
        <w:rPr>
          <w:color w:val="000000"/>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w:t>
      </w:r>
      <w:proofErr w:type="spellStart"/>
      <w:r>
        <w:rPr>
          <w:color w:val="000000"/>
        </w:rPr>
        <w:t>favour</w:t>
      </w:r>
      <w:proofErr w:type="spellEnd"/>
      <w:r>
        <w:rPr>
          <w:color w:val="000000"/>
        </w:rPr>
        <w:t xml:space="preserve"> of the person who presents primary sources of law.</w:t>
      </w:r>
    </w:p>
    <w:p w14:paraId="3EB9C424" w14:textId="77777777" w:rsidR="0015033F" w:rsidRDefault="00834871">
      <w:pPr>
        <w:pStyle w:val="Textbody"/>
        <w:spacing w:after="336"/>
        <w:rPr>
          <w:color w:val="000000"/>
        </w:rPr>
      </w:pPr>
      <w:r>
        <w:rPr>
          <w:color w:val="000000"/>
        </w:rPr>
        <w:t>Secondary sources of law are only made use of whenever there are no primary sources of law to fall back on.</w:t>
      </w:r>
    </w:p>
    <w:p w14:paraId="77A6705E" w14:textId="77777777" w:rsidR="0015033F" w:rsidRDefault="00834871">
      <w:pPr>
        <w:pStyle w:val="Textbody"/>
        <w:spacing w:after="336"/>
        <w:rPr>
          <w:color w:val="000000"/>
        </w:rPr>
      </w:pPr>
      <w:r>
        <w:rPr>
          <w:noProof/>
          <w:color w:val="000000"/>
        </w:rPr>
        <mc:AlternateContent>
          <mc:Choice Requires="wps">
            <w:drawing>
              <wp:anchor distT="0" distB="0" distL="114300" distR="114300" simplePos="0" relativeHeight="251658240" behindDoc="0" locked="0" layoutInCell="1" allowOverlap="1" wp14:anchorId="69B8B724" wp14:editId="6E56CC6C">
                <wp:simplePos x="0" y="0"/>
                <wp:positionH relativeFrom="column">
                  <wp:align>left</wp:align>
                </wp:positionH>
                <wp:positionV relativeFrom="margin">
                  <wp:align>top</wp:align>
                </wp:positionV>
                <wp:extent cx="5128229" cy="14721"/>
                <wp:effectExtent l="0" t="0" r="15271" b="23379"/>
                <wp:wrapSquare wrapText="right"/>
                <wp:docPr id="1" name="Frame1"/>
                <wp:cNvGraphicFramePr/>
                <a:graphic xmlns:a="http://schemas.openxmlformats.org/drawingml/2006/main">
                  <a:graphicData uri="http://schemas.microsoft.com/office/word/2010/wordprocessingShape">
                    <wps:wsp>
                      <wps:cNvSpPr txBox="1"/>
                      <wps:spPr>
                        <a:xfrm>
                          <a:off x="0" y="0"/>
                          <a:ext cx="5128229" cy="14721"/>
                        </a:xfrm>
                        <a:prstGeom prst="rect">
                          <a:avLst/>
                        </a:prstGeom>
                        <a:ln w="762">
                          <a:solidFill>
                            <a:srgbClr val="E1E1E1"/>
                          </a:solidFill>
                          <a:prstDash val="solid"/>
                        </a:ln>
                      </wps:spPr>
                      <wps:txbx>
                        <w:txbxContent>
                          <w:p w14:paraId="0980DF0D" w14:textId="77777777" w:rsidR="0015033F" w:rsidRDefault="0015033F">
                            <w:pPr>
                              <w:pStyle w:val="Textbody"/>
                              <w:rPr>
                                <w:rFonts w:ascii="freight-text, Georgia, serif, f" w:hAnsi="freight-text, Georgia, serif, f" w:hint="eastAsia"/>
                                <w:color w:val="111111"/>
                              </w:rPr>
                            </w:pPr>
                          </w:p>
                        </w:txbxContent>
                      </wps:txbx>
                      <wps:bodyPr wrap="none" lIns="0" tIns="0" rIns="0" bIns="0" compatLnSpc="0">
                        <a:spAutoFit/>
                      </wps:bodyPr>
                    </wps:wsp>
                  </a:graphicData>
                </a:graphic>
              </wp:anchor>
            </w:drawing>
          </mc:Choice>
          <mc:Fallback>
            <w:pict>
              <v:shapetype w14:anchorId="69B8B724" id="_x0000_t202" coordsize="21600,21600" o:spt="202" path="m,l,21600r21600,l21600,xe">
                <v:stroke joinstyle="miter"/>
                <v:path gradientshapeok="t" o:connecttype="rect"/>
              </v:shapetype>
              <v:shape id="Frame1" o:spid="_x0000_s1026" type="#_x0000_t202" style="position:absolute;margin-left:0;margin-top:0;width:403.8pt;height:1.15pt;z-index:251658240;visibility:visible;mso-wrap-style:none;mso-wrap-distance-left:9pt;mso-wrap-distance-top:0;mso-wrap-distance-right:9pt;mso-wrap-distance-bottom:0;mso-position-horizontal:left;mso-position-horizontal-relative:text;mso-position-vertical:top;mso-position-vertical-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" filled="f" strokecolor="#e1e1e1" strokeweight=".06pt">
                <v:textbox style="mso-fit-shape-to-text:t" inset="0,0,0,0">
                  <w:txbxContent>
                    <w:p w14:paraId="0980DF0D" w14:textId="77777777" w:rsidR="0015033F" w:rsidRDefault="0015033F">
                      <w:pPr>
                        <w:pStyle w:val="Textbody"/>
                        <w:rPr>
                          <w:rFonts w:ascii="freight-text, Georgia, serif, f" w:hAnsi="freight-text, Georgia, serif, f" w:hint="eastAsia"/>
                          <w:color w:val="111111"/>
                        </w:rPr>
                      </w:pPr>
                    </w:p>
                  </w:txbxContent>
                </v:textbox>
                <w10:wrap type="square" side="right" anchory="margin"/>
              </v:shape>
            </w:pict>
          </mc:Fallback>
        </mc:AlternateContent>
      </w:r>
    </w:p>
    <w:p w14:paraId="4731B771" w14:textId="77777777" w:rsidR="0015033F" w:rsidRDefault="00834871">
      <w:pPr>
        <w:pStyle w:val="Standard"/>
        <w:rPr>
          <w:color w:val="000000"/>
        </w:rPr>
      </w:pPr>
      <w:r>
        <w:rPr>
          <w:color w:val="000000"/>
        </w:rPr>
        <w:t>1. Law Report</w:t>
      </w:r>
    </w:p>
    <w:p w14:paraId="5957361A" w14:textId="77777777" w:rsidR="0015033F" w:rsidRDefault="00834871">
      <w:pPr>
        <w:pStyle w:val="Standard"/>
        <w:rPr>
          <w:color w:val="000000"/>
        </w:rPr>
      </w:pPr>
      <w:r>
        <w:rPr>
          <w:color w:val="000000"/>
        </w:rPr>
        <w:tab/>
        <w:t>A law report is a record of a judicial decision on a point of law which sets a precedent.</w:t>
      </w:r>
    </w:p>
    <w:p w14:paraId="01C36B4D" w14:textId="77777777" w:rsidR="0015033F" w:rsidRDefault="0015033F">
      <w:pPr>
        <w:pStyle w:val="Standard"/>
        <w:rPr>
          <w:color w:val="000000"/>
        </w:rPr>
      </w:pPr>
    </w:p>
    <w:p w14:paraId="40F81302" w14:textId="77777777" w:rsidR="0015033F" w:rsidRDefault="00834871">
      <w:pPr>
        <w:pStyle w:val="Textbody"/>
        <w:spacing w:line="456" w:lineRule="auto"/>
        <w:rPr>
          <w:color w:val="000000"/>
        </w:rPr>
      </w:pPr>
      <w:r>
        <w:rPr>
          <w:color w:val="000000"/>
        </w:rPr>
        <w:t>Not all decisions taken in a court of law set a precedent, however interesting they may be in terms of the facts of the case or its consequences. A decision is only reportable if lays down a new principle of law, or changes or clarifies the existing law.</w:t>
      </w:r>
    </w:p>
    <w:p w14:paraId="07FE09C0" w14:textId="77777777" w:rsidR="0015033F" w:rsidRDefault="00834871">
      <w:pPr>
        <w:pStyle w:val="Textbody"/>
        <w:spacing w:line="456" w:lineRule="auto"/>
        <w:rPr>
          <w:color w:val="000000"/>
        </w:rPr>
      </w:pPr>
      <w:r>
        <w:rPr>
          <w:color w:val="000000"/>
        </w:rPr>
        <w:t>It is therefore important to:</w:t>
      </w:r>
    </w:p>
    <w:p w14:paraId="37C8C2F2" w14:textId="77777777" w:rsidR="0015033F" w:rsidRDefault="00834871">
      <w:pPr>
        <w:pStyle w:val="Textbody"/>
        <w:numPr>
          <w:ilvl w:val="0"/>
          <w:numId w:val="3"/>
        </w:numPr>
        <w:spacing w:after="0" w:line="456" w:lineRule="auto"/>
        <w:rPr>
          <w:color w:val="000000"/>
        </w:rPr>
      </w:pPr>
      <w:r>
        <w:rPr>
          <w:color w:val="000000"/>
        </w:rPr>
        <w:t>distinguish between those cases which do indeed lay down, change or clarify the law, and which therefore need to be reported, and those which don’t; and</w:t>
      </w:r>
    </w:p>
    <w:p w14:paraId="2BEBA099" w14:textId="77777777" w:rsidR="0015033F" w:rsidRDefault="00834871">
      <w:pPr>
        <w:pStyle w:val="Textbody"/>
        <w:numPr>
          <w:ilvl w:val="0"/>
          <w:numId w:val="3"/>
        </w:numPr>
        <w:spacing w:after="0" w:line="456" w:lineRule="auto"/>
        <w:rPr>
          <w:color w:val="000000"/>
        </w:rPr>
      </w:pPr>
      <w:r>
        <w:rPr>
          <w:color w:val="000000"/>
        </w:rPr>
        <w:t xml:space="preserve">ensure that any report of a reportable case clearly states all the relevant information so that it can be relied upon by students, teachers, practitioners and judges as an accurate and authoritative statement of the principle of law (the “ratio </w:t>
      </w:r>
      <w:proofErr w:type="spellStart"/>
      <w:r>
        <w:rPr>
          <w:color w:val="000000"/>
        </w:rPr>
        <w:t>decidendi</w:t>
      </w:r>
      <w:proofErr w:type="spellEnd"/>
      <w:r>
        <w:rPr>
          <w:color w:val="000000"/>
        </w:rPr>
        <w:t>”) on which the case was decided.</w:t>
      </w:r>
    </w:p>
    <w:p w14:paraId="097CC987" w14:textId="77777777" w:rsidR="0015033F" w:rsidRDefault="0015033F">
      <w:pPr>
        <w:pStyle w:val="Textbody"/>
        <w:spacing w:after="0" w:line="456" w:lineRule="auto"/>
        <w:rPr>
          <w:color w:val="000000"/>
        </w:rPr>
      </w:pPr>
    </w:p>
    <w:p w14:paraId="134BFF83" w14:textId="77777777" w:rsidR="0015033F" w:rsidRDefault="00834871">
      <w:pPr>
        <w:pStyle w:val="Textbody"/>
        <w:spacing w:after="0" w:line="456" w:lineRule="auto"/>
        <w:rPr>
          <w:rFonts w:ascii="Georgia, Times, 'Times New Roma" w:hAnsi="Georgia, Times, 'Times New Roma" w:hint="eastAsia"/>
          <w:color w:val="000000"/>
        </w:rPr>
      </w:pPr>
      <w:r>
        <w:rPr>
          <w:color w:val="000000"/>
        </w:rPr>
        <w:t>However important the case, the transcript of a judgment does not have the same value, as a record of the decision contained in it, as a full text law report. Where, therefore, a law report is available, particularly where the case has been reported in one of the official series, The Law Reports, published by ICLR, it </w:t>
      </w:r>
      <w:r>
        <w:rPr>
          <w:rStyle w:val="Emphasis"/>
          <w:i w:val="0"/>
        </w:rPr>
        <w:t>must</w:t>
      </w:r>
      <w:r>
        <w:rPr>
          <w:color w:val="000000"/>
        </w:rPr>
        <w:t> be cited and referred to in that version in preference for any other:</w:t>
      </w:r>
    </w:p>
    <w:p w14:paraId="6595F24B" w14:textId="77777777" w:rsidR="0015033F" w:rsidRDefault="0015033F">
      <w:pPr>
        <w:pStyle w:val="Heading2"/>
        <w:spacing w:before="0" w:after="140" w:line="288" w:lineRule="auto"/>
        <w:rPr>
          <w:color w:val="000000"/>
          <w:sz w:val="24"/>
          <w:szCs w:val="24"/>
        </w:rPr>
      </w:pPr>
    </w:p>
    <w:p w14:paraId="447D1FCE" w14:textId="77777777" w:rsidR="0015033F" w:rsidRDefault="00834871">
      <w:pPr>
        <w:pStyle w:val="Heading2"/>
        <w:spacing w:before="0" w:after="140" w:line="288" w:lineRule="auto"/>
        <w:rPr>
          <w:color w:val="000000"/>
          <w:sz w:val="24"/>
          <w:szCs w:val="24"/>
        </w:rPr>
      </w:pPr>
      <w:r>
        <w:rPr>
          <w:color w:val="000000"/>
          <w:sz w:val="24"/>
          <w:szCs w:val="24"/>
        </w:rPr>
        <w:t>DIFFERENT TYPES OF LAW REPORT</w:t>
      </w:r>
    </w:p>
    <w:p w14:paraId="0F3A05A5" w14:textId="77777777" w:rsidR="0015033F" w:rsidRDefault="00834871">
      <w:pPr>
        <w:pStyle w:val="Textbody"/>
        <w:spacing w:line="456" w:lineRule="auto"/>
        <w:rPr>
          <w:color w:val="000000"/>
        </w:rPr>
      </w:pPr>
      <w:r>
        <w:rPr>
          <w:color w:val="000000"/>
        </w:rPr>
        <w:t>Law reports fall into two broad types.</w:t>
      </w:r>
    </w:p>
    <w:p w14:paraId="3FF73C52" w14:textId="77777777" w:rsidR="0015033F" w:rsidRDefault="00834871">
      <w:pPr>
        <w:pStyle w:val="Textbody"/>
        <w:numPr>
          <w:ilvl w:val="0"/>
          <w:numId w:val="4"/>
        </w:numPr>
        <w:spacing w:after="240" w:line="456" w:lineRule="auto"/>
        <w:ind w:left="0"/>
        <w:rPr>
          <w:color w:val="000000"/>
        </w:rPr>
      </w:pPr>
      <w:r>
        <w:rPr>
          <w:color w:val="000000"/>
        </w:rPr>
        <w:t>Full text law reports incorporate the full judgment(s) given by the court, together with a summary of the case known as the headnote and a number of other elements.</w:t>
      </w:r>
    </w:p>
    <w:p w14:paraId="0AD1E42B" w14:textId="77777777" w:rsidR="0015033F" w:rsidRDefault="00834871">
      <w:pPr>
        <w:pStyle w:val="Textbody"/>
        <w:numPr>
          <w:ilvl w:val="0"/>
          <w:numId w:val="4"/>
        </w:numPr>
        <w:spacing w:after="240" w:line="456" w:lineRule="auto"/>
        <w:rPr>
          <w:color w:val="000000"/>
        </w:rPr>
      </w:pPr>
      <w:r>
        <w:rPr>
          <w:color w:val="000000"/>
        </w:rPr>
        <w:t xml:space="preserve">Summary reports, also known as case summaries, digests, case notes </w:t>
      </w:r>
      <w:proofErr w:type="spellStart"/>
      <w:r>
        <w:rPr>
          <w:color w:val="000000"/>
        </w:rPr>
        <w:t>etc</w:t>
      </w:r>
      <w:proofErr w:type="spellEnd"/>
      <w:r>
        <w:rPr>
          <w:color w:val="000000"/>
        </w:rPr>
        <w:t>, consist of summaries or abridgements of the judgment, and are presented in a less formal way than a full text law report.</w:t>
      </w:r>
    </w:p>
    <w:p w14:paraId="312AF8F3" w14:textId="77777777" w:rsidR="0015033F" w:rsidRDefault="00834871">
      <w:pPr>
        <w:pStyle w:val="Textbody"/>
        <w:spacing w:line="456" w:lineRule="auto"/>
        <w:rPr>
          <w:color w:val="000000"/>
        </w:rPr>
      </w:pPr>
      <w:r>
        <w:rPr>
          <w:color w:val="000000"/>
        </w:rPr>
        <w:t>For obvious reasons, full text reports enjoy higher status than summary reports and should be cited in preference for them. The function of summary reports is either to alert practitioners and students to cases which may not merit reporting in full, or to act as an early warning system in advance of the full report which for obvious reasons may take longer to write, edit and publish.</w:t>
      </w:r>
    </w:p>
    <w:p w14:paraId="589D4603" w14:textId="77777777" w:rsidR="0015033F" w:rsidRDefault="00834871">
      <w:pPr>
        <w:pStyle w:val="Textbody"/>
        <w:spacing w:line="456" w:lineRule="auto"/>
        <w:rPr>
          <w:color w:val="000000"/>
        </w:rPr>
      </w:pPr>
      <w:r>
        <w:rPr>
          <w:color w:val="000000"/>
        </w:rPr>
        <w:t>Where a case is not reported in a full text law report, but a transcript of the judgment is available, this may be cited in conjunction with a summary report. However, the combination of a summary report and a transcript does not enjoy the same status as a full text law report where one is available, for reasons which will become clear once one appreciates the amount of careful editorial work that goes into preparing the full report.</w:t>
      </w:r>
    </w:p>
    <w:p w14:paraId="2493C2B9" w14:textId="77777777" w:rsidR="0015033F" w:rsidRDefault="00834871">
      <w:pPr>
        <w:pStyle w:val="Heading2"/>
        <w:spacing w:before="0" w:after="140" w:line="288" w:lineRule="auto"/>
        <w:rPr>
          <w:b w:val="0"/>
          <w:color w:val="000000"/>
          <w:sz w:val="24"/>
          <w:szCs w:val="24"/>
        </w:rPr>
      </w:pPr>
      <w:r>
        <w:rPr>
          <w:b w:val="0"/>
          <w:color w:val="000000"/>
          <w:sz w:val="24"/>
          <w:szCs w:val="24"/>
        </w:rPr>
        <w:t>Anatomy of a law report</w:t>
      </w:r>
    </w:p>
    <w:p w14:paraId="53A200AF" w14:textId="77777777" w:rsidR="0015033F" w:rsidRDefault="00834871">
      <w:pPr>
        <w:pStyle w:val="Textbody"/>
        <w:spacing w:line="456" w:lineRule="auto"/>
        <w:rPr>
          <w:color w:val="000000"/>
        </w:rPr>
      </w:pPr>
      <w:r>
        <w:rPr>
          <w:color w:val="000000"/>
        </w:rPr>
        <w:t>Any law reports, whether of the full text or summary type, needs to contain certain fundamental pieces of information in order to justify its being cited in support of a proposition of law.</w:t>
      </w:r>
    </w:p>
    <w:p w14:paraId="09010C60" w14:textId="77777777" w:rsidR="0015033F" w:rsidRDefault="00834871">
      <w:pPr>
        <w:pStyle w:val="Textbody"/>
        <w:spacing w:line="456" w:lineRule="auto"/>
        <w:rPr>
          <w:color w:val="000000"/>
        </w:rPr>
      </w:pPr>
      <w:r>
        <w:rPr>
          <w:color w:val="000000"/>
        </w:rPr>
        <w:t>First of all, it must have a title, usually based on the names of the parties. It must identify the court giving judgment, and the date on which it was given.</w:t>
      </w:r>
    </w:p>
    <w:p w14:paraId="08446757" w14:textId="77777777" w:rsidR="0015033F" w:rsidRDefault="00834871">
      <w:pPr>
        <w:pStyle w:val="Textbody"/>
        <w:spacing w:line="456" w:lineRule="auto"/>
        <w:rPr>
          <w:color w:val="000000"/>
        </w:rPr>
      </w:pPr>
      <w:r>
        <w:rPr>
          <w:color w:val="000000"/>
        </w:rPr>
        <w:t xml:space="preserve">Most fundamentally, it needs to contain a statement of the principle of law decided in the case. The statement should ideally be expressed as a rule or proposition which can be applied in subsequent cases even if the facts are not the same. It will usually be taken from the words actually used by the judge(s) but it may be condensed in some way and put into reported rather than quoted speech. The most highly </w:t>
      </w:r>
      <w:r>
        <w:rPr>
          <w:color w:val="000000"/>
        </w:rPr>
        <w:lastRenderedPageBreak/>
        <w:t>evolved form of such a statement is to be found in the modern headnote of a full text law report as published by ICLR.</w:t>
      </w:r>
    </w:p>
    <w:p w14:paraId="433D2B61" w14:textId="77777777" w:rsidR="0015033F" w:rsidRDefault="00834871">
      <w:pPr>
        <w:pStyle w:val="Textbody"/>
        <w:spacing w:line="456" w:lineRule="auto"/>
        <w:rPr>
          <w:color w:val="000000"/>
        </w:rPr>
      </w:pPr>
      <w:r>
        <w:rPr>
          <w:color w:val="000000"/>
        </w:rPr>
        <w:t>Finally, to reassure the reader of the reliability of the report, the reporter must be a qualified lawyer, and this must be evident either from the report itself or the publication in which it appears.</w:t>
      </w:r>
    </w:p>
    <w:p w14:paraId="1CB5F99D" w14:textId="77777777" w:rsidR="0015033F" w:rsidRDefault="00834871">
      <w:pPr>
        <w:pStyle w:val="Textbody"/>
        <w:spacing w:line="456" w:lineRule="auto"/>
        <w:rPr>
          <w:color w:val="000000"/>
        </w:rPr>
      </w:pPr>
      <w:r>
        <w:rPr>
          <w:color w:val="000000"/>
        </w:rPr>
        <w:t>The above five elements (title, court, date, principle of law, reporter) constitute the bare minimum for a summary report. But most reports contain a number of other elements, most notably the full text of the judgment(s) in the case and the names of the judge(s).</w:t>
      </w:r>
    </w:p>
    <w:p w14:paraId="0C35B98E" w14:textId="77777777" w:rsidR="0015033F" w:rsidRDefault="00834871">
      <w:pPr>
        <w:pStyle w:val="Textbody"/>
        <w:spacing w:line="456" w:lineRule="auto"/>
      </w:pPr>
      <w:r>
        <w:rPr>
          <w:color w:val="000000"/>
        </w:rPr>
        <w:t>What follows is a more detailed explanation of all the various elements of a modern full text law report, such as is published in The Law Reports, listed in the order in which they appear. For the sake of illustration, it would useful at this point to have open a copy of a full text law report or to view the </w:t>
      </w:r>
      <w:proofErr w:type="spellStart"/>
      <w:r w:rsidR="007E66DB">
        <w:fldChar w:fldCharType="begin"/>
      </w:r>
      <w:r w:rsidR="007E66DB">
        <w:instrText xml:space="preserve"> HYPERLINK "http://learnmore.lawbore.net/" </w:instrText>
      </w:r>
      <w:r w:rsidR="007E66DB">
        <w:fldChar w:fldCharType="separate"/>
      </w:r>
      <w:r>
        <w:rPr>
          <w:color w:val="000000"/>
        </w:rPr>
        <w:t>Learnmore</w:t>
      </w:r>
      <w:proofErr w:type="spellEnd"/>
      <w:r w:rsidR="007E66DB">
        <w:rPr>
          <w:color w:val="000000"/>
        </w:rPr>
        <w:fldChar w:fldCharType="end"/>
      </w:r>
      <w:r>
        <w:rPr>
          <w:color w:val="000000"/>
        </w:rPr>
        <w:t> talking essay on </w:t>
      </w:r>
      <w:hyperlink r:id="rId7" w:history="1">
        <w:r>
          <w:rPr>
            <w:color w:val="000000"/>
          </w:rPr>
          <w:t>law report anatomy</w:t>
        </w:r>
      </w:hyperlink>
      <w:r>
        <w:rPr>
          <w:color w:val="000000"/>
        </w:rPr>
        <w:t>.</w:t>
      </w:r>
    </w:p>
    <w:p w14:paraId="041C34F0" w14:textId="77777777" w:rsidR="0015033F" w:rsidRDefault="0015033F">
      <w:pPr>
        <w:pStyle w:val="Textbody"/>
        <w:spacing w:after="0" w:line="456" w:lineRule="auto"/>
        <w:rPr>
          <w:color w:val="000000"/>
        </w:rPr>
      </w:pPr>
    </w:p>
    <w:p w14:paraId="49277F14" w14:textId="77777777" w:rsidR="0015033F" w:rsidRDefault="00834871">
      <w:pPr>
        <w:pStyle w:val="Textbody"/>
        <w:spacing w:after="0" w:line="456" w:lineRule="auto"/>
        <w:rPr>
          <w:b/>
          <w:bCs/>
          <w:color w:val="000000"/>
        </w:rPr>
      </w:pPr>
      <w:r>
        <w:rPr>
          <w:b/>
          <w:bCs/>
          <w:color w:val="000000"/>
        </w:rPr>
        <w:t>1. Court</w:t>
      </w:r>
    </w:p>
    <w:p w14:paraId="0B42FC55" w14:textId="77777777" w:rsidR="0015033F" w:rsidRDefault="00834871">
      <w:pPr>
        <w:pStyle w:val="Textbody"/>
        <w:spacing w:after="0" w:line="456" w:lineRule="auto"/>
        <w:rPr>
          <w:rFonts w:ascii="Georgia, Times, 'Times New Roma" w:hAnsi="Georgia, Times, 'Times New Roma" w:hint="eastAsia"/>
          <w:color w:val="000000"/>
        </w:rPr>
      </w:pPr>
      <w:r>
        <w:rPr>
          <w:color w:val="000000"/>
        </w:rPr>
        <w:t>Criminal cases are almost always prosecuted by the Crown, using the Latin for “queen” (Regina) or “king” (Rex). Most criminal cases therefore take the form of </w:t>
      </w:r>
      <w:r>
        <w:rPr>
          <w:rStyle w:val="Emphasis"/>
          <w:i w:val="0"/>
        </w:rPr>
        <w:t>Regina</w:t>
      </w:r>
      <w:r>
        <w:rPr>
          <w:color w:val="000000"/>
        </w:rPr>
        <w:t>, </w:t>
      </w:r>
      <w:proofErr w:type="spellStart"/>
      <w:r>
        <w:rPr>
          <w:rStyle w:val="Emphasis"/>
          <w:i w:val="0"/>
        </w:rPr>
        <w:t>Reg</w:t>
      </w:r>
      <w:proofErr w:type="spellEnd"/>
      <w:r>
        <w:rPr>
          <w:color w:val="000000"/>
        </w:rPr>
        <w:t> or </w:t>
      </w:r>
      <w:r>
        <w:rPr>
          <w:rStyle w:val="Emphasis"/>
          <w:i w:val="0"/>
        </w:rPr>
        <w:t>R v Brown</w:t>
      </w:r>
      <w:r>
        <w:rPr>
          <w:color w:val="000000"/>
        </w:rPr>
        <w:t>. It is conventionally pronounced “Queen (or King) </w:t>
      </w:r>
      <w:r>
        <w:rPr>
          <w:rStyle w:val="Emphasis"/>
          <w:i w:val="0"/>
        </w:rPr>
        <w:t>against</w:t>
      </w:r>
      <w:r>
        <w:rPr>
          <w:color w:val="000000"/>
        </w:rPr>
        <w:t> Brown”.</w:t>
      </w:r>
    </w:p>
    <w:p w14:paraId="23D70918" w14:textId="77777777" w:rsidR="0015033F" w:rsidRDefault="00834871">
      <w:pPr>
        <w:pStyle w:val="Heading4"/>
        <w:spacing w:before="0" w:after="140" w:line="288" w:lineRule="auto"/>
        <w:rPr>
          <w:b w:val="0"/>
          <w:color w:val="000000"/>
        </w:rPr>
      </w:pPr>
      <w:r>
        <w:rPr>
          <w:b w:val="0"/>
          <w:color w:val="000000"/>
        </w:rPr>
        <w:t>Variations</w:t>
      </w:r>
    </w:p>
    <w:p w14:paraId="0B84AAC0" w14:textId="77777777" w:rsidR="0015033F" w:rsidRDefault="00834871">
      <w:pPr>
        <w:pStyle w:val="Textbody"/>
        <w:spacing w:line="456" w:lineRule="auto"/>
      </w:pPr>
      <w:r>
        <w:rPr>
          <w:color w:val="000000"/>
        </w:rPr>
        <w:t xml:space="preserve">Some criminal cases or appeals are maintained the name of the Director of Public Prosecutions, or DPP, instead of the Crown: </w:t>
      </w:r>
      <w:proofErr w:type="spellStart"/>
      <w:r>
        <w:rPr>
          <w:color w:val="000000"/>
        </w:rPr>
        <w:t>eg</w:t>
      </w:r>
      <w:proofErr w:type="spellEnd"/>
      <w:r>
        <w:rPr>
          <w:color w:val="000000"/>
        </w:rPr>
        <w:t> </w:t>
      </w:r>
      <w:r>
        <w:rPr>
          <w:rStyle w:val="Emphasis"/>
          <w:i w:val="0"/>
          <w:color w:val="000000"/>
        </w:rPr>
        <w:t>Brown v DPP</w:t>
      </w:r>
      <w:r>
        <w:rPr>
          <w:color w:val="000000"/>
        </w:rPr>
        <w:t>.</w:t>
      </w:r>
    </w:p>
    <w:p w14:paraId="7B9730BC" w14:textId="77777777" w:rsidR="0015033F" w:rsidRDefault="00834871">
      <w:pPr>
        <w:pStyle w:val="Textbody"/>
        <w:spacing w:line="456" w:lineRule="auto"/>
      </w:pPr>
      <w:r>
        <w:rPr>
          <w:color w:val="000000"/>
        </w:rPr>
        <w:t>However references by the Attorney General to the Court of Appeal following an acquittal do not use the defendant’s name, just a reference number: </w:t>
      </w:r>
      <w:r>
        <w:rPr>
          <w:rStyle w:val="Emphasis"/>
          <w:i w:val="0"/>
          <w:color w:val="000000"/>
        </w:rPr>
        <w:t>Attorney General’s Reference (No 1 of 2011)</w:t>
      </w:r>
      <w:r>
        <w:rPr>
          <w:color w:val="000000"/>
        </w:rPr>
        <w:t xml:space="preserve">. Some civil case titles take other forms, </w:t>
      </w:r>
      <w:proofErr w:type="spellStart"/>
      <w:r>
        <w:rPr>
          <w:color w:val="000000"/>
        </w:rPr>
        <w:t>eg</w:t>
      </w:r>
      <w:proofErr w:type="spellEnd"/>
      <w:r>
        <w:rPr>
          <w:color w:val="000000"/>
        </w:rPr>
        <w:t> </w:t>
      </w:r>
      <w:r>
        <w:rPr>
          <w:rStyle w:val="Emphasis"/>
          <w:i w:val="0"/>
          <w:color w:val="000000"/>
        </w:rPr>
        <w:t>In re Smith’s Estate</w:t>
      </w:r>
      <w:r>
        <w:rPr>
          <w:color w:val="000000"/>
        </w:rPr>
        <w:t> (“in the matter of” Smith’s estate), </w:t>
      </w:r>
      <w:r>
        <w:rPr>
          <w:rStyle w:val="Emphasis"/>
          <w:i w:val="0"/>
          <w:color w:val="000000"/>
        </w:rPr>
        <w:t>In re A (A child)</w:t>
      </w:r>
      <w:r>
        <w:rPr>
          <w:color w:val="000000"/>
        </w:rPr>
        <w:t> or </w:t>
      </w:r>
      <w:r>
        <w:rPr>
          <w:rStyle w:val="Emphasis"/>
          <w:i w:val="0"/>
          <w:color w:val="000000"/>
        </w:rPr>
        <w:t>In re Jones Co Ltd (in liquidation).</w:t>
      </w:r>
    </w:p>
    <w:p w14:paraId="723583D8" w14:textId="77777777" w:rsidR="0015033F" w:rsidRDefault="00834871">
      <w:pPr>
        <w:pStyle w:val="Textbody"/>
        <w:spacing w:line="456" w:lineRule="auto"/>
      </w:pPr>
      <w:r>
        <w:rPr>
          <w:color w:val="000000"/>
        </w:rPr>
        <w:t xml:space="preserve">Judicial review claims (against public authorities alleging breaches of public law), though civil proceedings, are also brought in the name of the Crown, acting “on the application of” (or as it used to </w:t>
      </w:r>
      <w:r>
        <w:rPr>
          <w:color w:val="000000"/>
        </w:rPr>
        <w:lastRenderedPageBreak/>
        <w:t>be, “ex parte”) the name of the applicant, thus taking the form of: </w:t>
      </w:r>
      <w:r>
        <w:rPr>
          <w:rStyle w:val="Emphasis"/>
          <w:i w:val="0"/>
          <w:color w:val="000000"/>
        </w:rPr>
        <w:t>R (Smith) v Secretary of State for Justice</w:t>
      </w:r>
      <w:r>
        <w:rPr>
          <w:color w:val="000000"/>
        </w:rPr>
        <w:t> or, for older cases, </w:t>
      </w:r>
      <w:r>
        <w:rPr>
          <w:rStyle w:val="Emphasis"/>
          <w:i w:val="0"/>
          <w:color w:val="000000"/>
        </w:rPr>
        <w:t>R v Westminster City Council, Ex parte Jones</w:t>
      </w:r>
      <w:r>
        <w:rPr>
          <w:color w:val="000000"/>
        </w:rPr>
        <w:t>.</w:t>
      </w:r>
    </w:p>
    <w:p w14:paraId="0A0FF6E0" w14:textId="77777777" w:rsidR="0015033F" w:rsidRDefault="00834871">
      <w:pPr>
        <w:pStyle w:val="Textbody"/>
        <w:spacing w:line="456" w:lineRule="auto"/>
      </w:pPr>
      <w:r>
        <w:rPr>
          <w:color w:val="000000"/>
        </w:rPr>
        <w:t>Admiralty actions in rem (Latin for “thing” or “matter”) involving a ship are brought in the name of the ship: </w:t>
      </w:r>
      <w:r>
        <w:rPr>
          <w:rStyle w:val="Emphasis"/>
          <w:i w:val="0"/>
          <w:color w:val="000000"/>
        </w:rPr>
        <w:t>The Titanic. </w:t>
      </w:r>
      <w:r>
        <w:rPr>
          <w:color w:val="000000"/>
        </w:rPr>
        <w:t xml:space="preserve">However, ordinary shipping claims involving litigating parties (claims “in </w:t>
      </w:r>
      <w:proofErr w:type="spellStart"/>
      <w:r>
        <w:rPr>
          <w:color w:val="000000"/>
        </w:rPr>
        <w:t>personam</w:t>
      </w:r>
      <w:proofErr w:type="spellEnd"/>
      <w:r>
        <w:rPr>
          <w:color w:val="000000"/>
        </w:rPr>
        <w:t>”) should not use the name of the ship as a title, though they often do as a form of shorthand: </w:t>
      </w:r>
      <w:r>
        <w:rPr>
          <w:rStyle w:val="Emphasis"/>
          <w:i w:val="0"/>
          <w:color w:val="000000"/>
        </w:rPr>
        <w:t xml:space="preserve">Smith Shipping </w:t>
      </w:r>
      <w:proofErr w:type="spellStart"/>
      <w:r>
        <w:rPr>
          <w:rStyle w:val="Emphasis"/>
          <w:i w:val="0"/>
          <w:color w:val="000000"/>
        </w:rPr>
        <w:t>Coprn</w:t>
      </w:r>
      <w:proofErr w:type="spellEnd"/>
      <w:r>
        <w:rPr>
          <w:rStyle w:val="Emphasis"/>
          <w:i w:val="0"/>
          <w:color w:val="000000"/>
        </w:rPr>
        <w:t xml:space="preserve"> v Jones Insurers (The Mary Rose).</w:t>
      </w:r>
    </w:p>
    <w:p w14:paraId="217E972A" w14:textId="77777777" w:rsidR="0015033F" w:rsidRDefault="00834871">
      <w:pPr>
        <w:pStyle w:val="Textbody"/>
        <w:rPr>
          <w:color w:val="000000"/>
        </w:rPr>
      </w:pPr>
      <w:r>
        <w:rPr>
          <w:color w:val="000000"/>
        </w:rPr>
        <w:br/>
      </w:r>
    </w:p>
    <w:p w14:paraId="1079EB0C" w14:textId="77777777" w:rsidR="0015033F" w:rsidRDefault="00834871">
      <w:pPr>
        <w:pStyle w:val="Textbody"/>
        <w:spacing w:after="0" w:line="456" w:lineRule="auto"/>
        <w:rPr>
          <w:b/>
          <w:bCs/>
          <w:color w:val="000000"/>
        </w:rPr>
      </w:pPr>
      <w:r>
        <w:rPr>
          <w:b/>
          <w:bCs/>
          <w:color w:val="000000"/>
        </w:rPr>
        <w:t>2. Title</w:t>
      </w:r>
    </w:p>
    <w:p w14:paraId="303AD519" w14:textId="77777777" w:rsidR="0015033F" w:rsidRDefault="00834871">
      <w:pPr>
        <w:pStyle w:val="Heading4"/>
        <w:spacing w:before="0" w:after="0" w:line="456" w:lineRule="auto"/>
        <w:rPr>
          <w:b w:val="0"/>
          <w:color w:val="000000"/>
        </w:rPr>
      </w:pPr>
      <w:r>
        <w:rPr>
          <w:b w:val="0"/>
          <w:color w:val="000000"/>
        </w:rPr>
        <w:t>The basic rule</w:t>
      </w:r>
    </w:p>
    <w:p w14:paraId="5C0DDA3A" w14:textId="77777777" w:rsidR="0015033F" w:rsidRDefault="00834871">
      <w:pPr>
        <w:pStyle w:val="Textbody"/>
        <w:spacing w:line="456" w:lineRule="auto"/>
      </w:pPr>
      <w:r>
        <w:rPr>
          <w:color w:val="000000"/>
        </w:rPr>
        <w:t>Most case titles are expressed in the form of one party’s (the claimant’s) surname </w:t>
      </w:r>
      <w:r>
        <w:rPr>
          <w:rStyle w:val="Emphasis"/>
          <w:i w:val="0"/>
          <w:color w:val="000000"/>
        </w:rPr>
        <w:t>versus</w:t>
      </w:r>
      <w:r>
        <w:rPr>
          <w:color w:val="000000"/>
        </w:rPr>
        <w:t> (Latin for “against”) another’s (the defendant’s). In civil cases, this appears as </w:t>
      </w:r>
      <w:r>
        <w:rPr>
          <w:rStyle w:val="Emphasis"/>
          <w:i w:val="0"/>
          <w:color w:val="000000"/>
        </w:rPr>
        <w:t>Smith v Jones</w:t>
      </w:r>
      <w:r>
        <w:rPr>
          <w:color w:val="000000"/>
        </w:rPr>
        <w:t> but is conventionally pronounced as “Smith </w:t>
      </w:r>
      <w:r>
        <w:rPr>
          <w:rStyle w:val="Emphasis"/>
          <w:i w:val="0"/>
          <w:color w:val="000000"/>
        </w:rPr>
        <w:t>and</w:t>
      </w:r>
      <w:r>
        <w:rPr>
          <w:color w:val="000000"/>
        </w:rPr>
        <w:t> Jones”.</w:t>
      </w:r>
    </w:p>
    <w:p w14:paraId="1A79BB1D" w14:textId="77777777" w:rsidR="0015033F" w:rsidRDefault="00834871">
      <w:pPr>
        <w:pStyle w:val="Textbody"/>
      </w:pPr>
      <w:r>
        <w:rPr>
          <w:color w:val="000000"/>
        </w:rPr>
        <w:br/>
        <w:t>Criminal cases are almost always prosecuted by the Crown, using the Latin for “queen” (Regina) or “king” (Rex). Most criminal cases therefore take the form of </w:t>
      </w:r>
      <w:r>
        <w:rPr>
          <w:rStyle w:val="Emphasis"/>
          <w:i w:val="0"/>
          <w:color w:val="000000"/>
        </w:rPr>
        <w:t>Regina</w:t>
      </w:r>
      <w:r>
        <w:rPr>
          <w:color w:val="000000"/>
        </w:rPr>
        <w:t>, </w:t>
      </w:r>
      <w:proofErr w:type="spellStart"/>
      <w:r>
        <w:rPr>
          <w:rStyle w:val="Emphasis"/>
          <w:i w:val="0"/>
          <w:color w:val="000000"/>
        </w:rPr>
        <w:t>Reg</w:t>
      </w:r>
      <w:proofErr w:type="spellEnd"/>
      <w:r>
        <w:rPr>
          <w:color w:val="000000"/>
        </w:rPr>
        <w:t> or </w:t>
      </w:r>
      <w:r>
        <w:rPr>
          <w:rStyle w:val="Emphasis"/>
          <w:i w:val="0"/>
          <w:color w:val="000000"/>
        </w:rPr>
        <w:t>R v Brown</w:t>
      </w:r>
      <w:r>
        <w:rPr>
          <w:color w:val="000000"/>
        </w:rPr>
        <w:t>. It is conventionally pronounced “Queen (or King) </w:t>
      </w:r>
      <w:r>
        <w:rPr>
          <w:rStyle w:val="Emphasis"/>
          <w:i w:val="0"/>
          <w:color w:val="000000"/>
        </w:rPr>
        <w:t>against</w:t>
      </w:r>
      <w:r>
        <w:rPr>
          <w:color w:val="000000"/>
        </w:rPr>
        <w:t> Brown”.</w:t>
      </w:r>
    </w:p>
    <w:p w14:paraId="4B0C0B6B" w14:textId="77777777" w:rsidR="0015033F" w:rsidRDefault="00834871">
      <w:pPr>
        <w:pStyle w:val="Heading4"/>
        <w:spacing w:before="0" w:after="140" w:line="288" w:lineRule="auto"/>
        <w:rPr>
          <w:b w:val="0"/>
          <w:color w:val="000000"/>
        </w:rPr>
      </w:pPr>
      <w:r>
        <w:rPr>
          <w:b w:val="0"/>
          <w:color w:val="000000"/>
        </w:rPr>
        <w:t>Variations</w:t>
      </w:r>
    </w:p>
    <w:p w14:paraId="281EF771" w14:textId="77777777" w:rsidR="0015033F" w:rsidRDefault="00834871">
      <w:pPr>
        <w:pStyle w:val="Textbody"/>
        <w:spacing w:line="456" w:lineRule="auto"/>
      </w:pPr>
      <w:r>
        <w:rPr>
          <w:color w:val="000000"/>
        </w:rPr>
        <w:t xml:space="preserve">Some criminal cases or appeals are maintained the name of the Director of Public Prosecutions, or DPP, instead of the Crown: </w:t>
      </w:r>
      <w:proofErr w:type="spellStart"/>
      <w:r>
        <w:rPr>
          <w:color w:val="000000"/>
        </w:rPr>
        <w:t>eg</w:t>
      </w:r>
      <w:proofErr w:type="spellEnd"/>
      <w:r>
        <w:rPr>
          <w:color w:val="000000"/>
        </w:rPr>
        <w:t> </w:t>
      </w:r>
      <w:r>
        <w:rPr>
          <w:rStyle w:val="Emphasis"/>
          <w:i w:val="0"/>
          <w:color w:val="000000"/>
        </w:rPr>
        <w:t>Brown v DPP</w:t>
      </w:r>
      <w:r>
        <w:rPr>
          <w:color w:val="000000"/>
        </w:rPr>
        <w:t>.</w:t>
      </w:r>
    </w:p>
    <w:p w14:paraId="47076F49" w14:textId="77777777" w:rsidR="0015033F" w:rsidRDefault="00834871">
      <w:pPr>
        <w:pStyle w:val="Textbody"/>
        <w:spacing w:line="456" w:lineRule="auto"/>
      </w:pPr>
      <w:r>
        <w:rPr>
          <w:color w:val="000000"/>
        </w:rPr>
        <w:t>However references by the Attorney General to the Court of Appeal following an acquittal do not use the defendant’s name, just a reference number: </w:t>
      </w:r>
      <w:r>
        <w:rPr>
          <w:rStyle w:val="Emphasis"/>
          <w:i w:val="0"/>
          <w:color w:val="000000"/>
        </w:rPr>
        <w:t>Attorney General’s Reference (No 1 of 2011)</w:t>
      </w:r>
      <w:r>
        <w:rPr>
          <w:color w:val="000000"/>
        </w:rPr>
        <w:t xml:space="preserve">. Some civil case titles take other forms, </w:t>
      </w:r>
      <w:proofErr w:type="spellStart"/>
      <w:r>
        <w:rPr>
          <w:color w:val="000000"/>
        </w:rPr>
        <w:t>eg</w:t>
      </w:r>
      <w:proofErr w:type="spellEnd"/>
      <w:r>
        <w:rPr>
          <w:color w:val="000000"/>
        </w:rPr>
        <w:t> </w:t>
      </w:r>
      <w:r>
        <w:rPr>
          <w:rStyle w:val="Emphasis"/>
          <w:i w:val="0"/>
          <w:color w:val="000000"/>
        </w:rPr>
        <w:t>In re Smith’s Estate</w:t>
      </w:r>
      <w:r>
        <w:rPr>
          <w:color w:val="000000"/>
        </w:rPr>
        <w:t> (“in the matter of” Smith’s estate), </w:t>
      </w:r>
      <w:r>
        <w:rPr>
          <w:rStyle w:val="Emphasis"/>
          <w:i w:val="0"/>
          <w:color w:val="000000"/>
        </w:rPr>
        <w:t>In re A (A child)</w:t>
      </w:r>
      <w:r>
        <w:rPr>
          <w:color w:val="000000"/>
        </w:rPr>
        <w:t> or </w:t>
      </w:r>
      <w:r>
        <w:rPr>
          <w:rStyle w:val="Emphasis"/>
          <w:i w:val="0"/>
          <w:color w:val="000000"/>
        </w:rPr>
        <w:t>In re Jones Co Ltd (in liquidation).</w:t>
      </w:r>
    </w:p>
    <w:p w14:paraId="03451712" w14:textId="77777777" w:rsidR="0015033F" w:rsidRDefault="00834871">
      <w:pPr>
        <w:pStyle w:val="Textbody"/>
        <w:spacing w:line="456" w:lineRule="auto"/>
      </w:pPr>
      <w:r>
        <w:rPr>
          <w:color w:val="000000"/>
        </w:rPr>
        <w:t xml:space="preserve">Judicial review claims (against public authorities alleging breaches of public law), though civil proceedings, are also brought in the name of the Crown, acting “on the application of” (or as it used to </w:t>
      </w:r>
      <w:r>
        <w:rPr>
          <w:color w:val="000000"/>
        </w:rPr>
        <w:lastRenderedPageBreak/>
        <w:t>be, “ex parte”) the name of the applicant, thus taking the form of: </w:t>
      </w:r>
      <w:r>
        <w:rPr>
          <w:rStyle w:val="Emphasis"/>
          <w:i w:val="0"/>
          <w:color w:val="000000"/>
        </w:rPr>
        <w:t>R (Smith) v Secretary of State for Justice</w:t>
      </w:r>
      <w:r>
        <w:rPr>
          <w:color w:val="000000"/>
        </w:rPr>
        <w:t> or, for older cases, </w:t>
      </w:r>
      <w:r>
        <w:rPr>
          <w:rStyle w:val="Emphasis"/>
          <w:i w:val="0"/>
          <w:color w:val="000000"/>
        </w:rPr>
        <w:t>R v Westminster City Council, Ex parte Jones</w:t>
      </w:r>
      <w:r>
        <w:rPr>
          <w:color w:val="000000"/>
        </w:rPr>
        <w:t>.</w:t>
      </w:r>
    </w:p>
    <w:p w14:paraId="0C92AEF6" w14:textId="77777777" w:rsidR="0015033F" w:rsidRDefault="00834871">
      <w:pPr>
        <w:pStyle w:val="Textbody"/>
        <w:spacing w:line="456" w:lineRule="auto"/>
      </w:pPr>
      <w:r>
        <w:rPr>
          <w:color w:val="000000"/>
        </w:rPr>
        <w:t>Admiralty actions in rem (Latin for “thing” or “matter”) involving a ship are brought in the name of the ship: </w:t>
      </w:r>
      <w:r>
        <w:rPr>
          <w:rStyle w:val="Emphasis"/>
          <w:i w:val="0"/>
          <w:color w:val="000000"/>
        </w:rPr>
        <w:t>The Titanic. </w:t>
      </w:r>
      <w:r>
        <w:rPr>
          <w:color w:val="000000"/>
        </w:rPr>
        <w:t xml:space="preserve">However, ordinary shipping claims involving litigating parties (claims “in </w:t>
      </w:r>
      <w:proofErr w:type="spellStart"/>
      <w:r>
        <w:rPr>
          <w:color w:val="000000"/>
        </w:rPr>
        <w:t>personam</w:t>
      </w:r>
      <w:proofErr w:type="spellEnd"/>
      <w:r>
        <w:rPr>
          <w:color w:val="000000"/>
        </w:rPr>
        <w:t>”) should not use the name of the ship as a title, though they often do as a form of shorthand: </w:t>
      </w:r>
      <w:r>
        <w:rPr>
          <w:rStyle w:val="Emphasis"/>
          <w:i w:val="0"/>
          <w:color w:val="000000"/>
        </w:rPr>
        <w:t xml:space="preserve">Smith Shipping </w:t>
      </w:r>
      <w:proofErr w:type="spellStart"/>
      <w:r>
        <w:rPr>
          <w:rStyle w:val="Emphasis"/>
          <w:i w:val="0"/>
          <w:color w:val="000000"/>
        </w:rPr>
        <w:t>Coprn</w:t>
      </w:r>
      <w:proofErr w:type="spellEnd"/>
      <w:r>
        <w:rPr>
          <w:rStyle w:val="Emphasis"/>
          <w:i w:val="0"/>
          <w:color w:val="000000"/>
        </w:rPr>
        <w:t xml:space="preserve"> v Jones Insurers (The Mary Rose).</w:t>
      </w:r>
    </w:p>
    <w:p w14:paraId="724EC74B" w14:textId="77777777" w:rsidR="0015033F" w:rsidRDefault="00834871">
      <w:pPr>
        <w:pStyle w:val="Textbody"/>
        <w:rPr>
          <w:color w:val="000000"/>
        </w:rPr>
      </w:pPr>
      <w:r>
        <w:rPr>
          <w:color w:val="000000"/>
        </w:rPr>
        <w:br/>
      </w:r>
    </w:p>
    <w:p w14:paraId="5340745B" w14:textId="77777777" w:rsidR="0015033F" w:rsidRDefault="00834871">
      <w:pPr>
        <w:pStyle w:val="Textbody"/>
        <w:spacing w:after="0" w:line="456" w:lineRule="auto"/>
        <w:rPr>
          <w:b/>
          <w:bCs/>
          <w:color w:val="000000"/>
        </w:rPr>
      </w:pPr>
      <w:r>
        <w:rPr>
          <w:b/>
          <w:bCs/>
          <w:color w:val="000000"/>
        </w:rPr>
        <w:t>3. Date</w:t>
      </w:r>
    </w:p>
    <w:p w14:paraId="6ABCBC2B" w14:textId="77777777" w:rsidR="0015033F" w:rsidRDefault="00834871">
      <w:pPr>
        <w:pStyle w:val="Textbody"/>
        <w:spacing w:after="0" w:line="456" w:lineRule="auto"/>
        <w:rPr>
          <w:color w:val="000000"/>
        </w:rPr>
      </w:pPr>
      <w:r>
        <w:rPr>
          <w:color w:val="000000"/>
        </w:rPr>
        <w:tab/>
        <w:t>The full date of judgment is essential both as a matter of record and to avoid confusion between different cases with similar names or even different decisions in the course of the same litigation.</w:t>
      </w:r>
    </w:p>
    <w:p w14:paraId="658BBA26" w14:textId="77777777" w:rsidR="0015033F" w:rsidRDefault="00834871">
      <w:pPr>
        <w:pStyle w:val="Textbody"/>
        <w:spacing w:line="456" w:lineRule="auto"/>
        <w:rPr>
          <w:color w:val="000000"/>
        </w:rPr>
      </w:pPr>
      <w:r>
        <w:rPr>
          <w:color w:val="000000"/>
        </w:rPr>
        <w:t>Hearing dates are an optional but obviously useful addition. (For example, they could help indicate that a case had been heard by the court before an important judgment given in another case, which if known about could have affected the course of argument, or the judgment.)</w:t>
      </w:r>
    </w:p>
    <w:p w14:paraId="3C713FA9" w14:textId="77777777" w:rsidR="0015033F" w:rsidRDefault="00834871">
      <w:pPr>
        <w:pStyle w:val="Textbody"/>
        <w:spacing w:line="456" w:lineRule="auto"/>
        <w:rPr>
          <w:color w:val="000000"/>
        </w:rPr>
      </w:pPr>
      <w:r>
        <w:rPr>
          <w:color w:val="000000"/>
        </w:rPr>
        <w:t>Where judgment has been reserved, rather than being given directly at the conclusion of the hearing, this should be indicated in the report. (For more on this, see Judgment, below.)</w:t>
      </w:r>
    </w:p>
    <w:p w14:paraId="5FA419E6" w14:textId="77777777" w:rsidR="0015033F" w:rsidRDefault="00834871">
      <w:pPr>
        <w:pStyle w:val="Textbody"/>
        <w:rPr>
          <w:color w:val="000000"/>
        </w:rPr>
      </w:pPr>
      <w:r>
        <w:rPr>
          <w:color w:val="000000"/>
        </w:rPr>
        <w:br/>
      </w:r>
    </w:p>
    <w:p w14:paraId="35826EC9" w14:textId="77777777" w:rsidR="0015033F" w:rsidRDefault="00834871">
      <w:pPr>
        <w:pStyle w:val="Textbody"/>
        <w:spacing w:after="0" w:line="456" w:lineRule="auto"/>
        <w:rPr>
          <w:b/>
          <w:bCs/>
          <w:color w:val="000000"/>
        </w:rPr>
      </w:pPr>
      <w:r>
        <w:rPr>
          <w:b/>
          <w:bCs/>
          <w:color w:val="000000"/>
        </w:rPr>
        <w:t>4. Judges</w:t>
      </w:r>
    </w:p>
    <w:p w14:paraId="67E0F3E0" w14:textId="77777777" w:rsidR="0015033F" w:rsidRDefault="00834871">
      <w:pPr>
        <w:pStyle w:val="Textbody"/>
        <w:spacing w:after="0" w:line="456" w:lineRule="auto"/>
        <w:rPr>
          <w:color w:val="000000"/>
        </w:rPr>
      </w:pPr>
      <w:r>
        <w:rPr>
          <w:color w:val="000000"/>
        </w:rPr>
        <w:tab/>
        <w:t xml:space="preserve">The identity of the judge, as well as that of the court where the hearing took place, is an essential element of any law report. Whilst it may be possible when discussing a case to identify it as “a decision of the Court of Appeal”, or to mention that such-and-such a case was “reversed by the House of Lords” in a subsequent appeal, no report of the relevant decision of the Court of Appeal or House of Lords could be relied upon which did not identify the “constitution” of the court, </w:t>
      </w:r>
      <w:proofErr w:type="spellStart"/>
      <w:r>
        <w:rPr>
          <w:color w:val="000000"/>
        </w:rPr>
        <w:t>ie</w:t>
      </w:r>
      <w:proofErr w:type="spellEnd"/>
      <w:r>
        <w:rPr>
          <w:color w:val="000000"/>
        </w:rPr>
        <w:t xml:space="preserve"> list the names of the judges sitting on the bench, even if they did not all give judgment.</w:t>
      </w:r>
    </w:p>
    <w:p w14:paraId="3BF8D6EE" w14:textId="77777777" w:rsidR="0015033F" w:rsidRDefault="00834871">
      <w:pPr>
        <w:pStyle w:val="Textbody"/>
        <w:spacing w:line="456" w:lineRule="auto"/>
        <w:rPr>
          <w:color w:val="000000"/>
        </w:rPr>
      </w:pPr>
      <w:r>
        <w:rPr>
          <w:color w:val="000000"/>
        </w:rPr>
        <w:t xml:space="preserve">Where more than one judge was sitting, it is also essential to identify which judge or judges gave judgment. Usually this is done by setting out the relevant judge’s name at the beginning of their </w:t>
      </w:r>
      <w:r>
        <w:rPr>
          <w:color w:val="000000"/>
        </w:rPr>
        <w:lastRenderedPageBreak/>
        <w:t>judgment. Where one or more judges dissent from the decision of the others, this too must be clearly stated in the report.</w:t>
      </w:r>
    </w:p>
    <w:p w14:paraId="545A3A48" w14:textId="77777777" w:rsidR="0015033F" w:rsidRDefault="00834871">
      <w:pPr>
        <w:pStyle w:val="Textbody"/>
        <w:spacing w:line="456" w:lineRule="auto"/>
        <w:rPr>
          <w:color w:val="000000"/>
        </w:rPr>
      </w:pPr>
      <w:r>
        <w:rPr>
          <w:color w:val="000000"/>
        </w:rPr>
        <w:t>In some older reports, the name of the judge can only be inferred from the series or volume in which the report appears. You may need to know, for example, who was Vice-Chancellor at the time, and this is sometimes only apparent from information printed at the front of the volume.</w:t>
      </w:r>
    </w:p>
    <w:p w14:paraId="247AC37C" w14:textId="77777777" w:rsidR="0015033F" w:rsidRDefault="00834871">
      <w:pPr>
        <w:pStyle w:val="Textbody"/>
        <w:rPr>
          <w:color w:val="000000"/>
        </w:rPr>
      </w:pPr>
      <w:r>
        <w:rPr>
          <w:color w:val="000000"/>
        </w:rPr>
        <w:br/>
      </w:r>
    </w:p>
    <w:p w14:paraId="14AA3208" w14:textId="77777777" w:rsidR="0015033F" w:rsidRDefault="00834871">
      <w:pPr>
        <w:pStyle w:val="Textbody"/>
        <w:spacing w:after="0" w:line="456" w:lineRule="auto"/>
        <w:rPr>
          <w:b/>
          <w:bCs/>
          <w:color w:val="000000"/>
        </w:rPr>
      </w:pPr>
      <w:r>
        <w:rPr>
          <w:b/>
          <w:bCs/>
          <w:color w:val="000000"/>
        </w:rPr>
        <w:t>5. Catchwords</w:t>
      </w:r>
    </w:p>
    <w:p w14:paraId="604E2968" w14:textId="77777777" w:rsidR="0015033F" w:rsidRDefault="00834871">
      <w:pPr>
        <w:pStyle w:val="Textbody"/>
        <w:spacing w:after="0" w:line="456" w:lineRule="auto"/>
        <w:rPr>
          <w:color w:val="000000"/>
        </w:rPr>
      </w:pPr>
      <w:r>
        <w:rPr>
          <w:color w:val="000000"/>
        </w:rPr>
        <w:tab/>
        <w:t>Catchwords serve two essential functions. First, they identify the position of the case in a taxonomy of legal subject matters. Secondly, they encapsulate in abbreviated form the issues in the case and any words, phrases or legislative provisions construed by the court.</w:t>
      </w:r>
    </w:p>
    <w:p w14:paraId="31976614" w14:textId="77777777" w:rsidR="0015033F" w:rsidRDefault="00834871">
      <w:pPr>
        <w:pStyle w:val="Textbody"/>
        <w:spacing w:line="456" w:lineRule="auto"/>
        <w:rPr>
          <w:color w:val="000000"/>
        </w:rPr>
      </w:pPr>
      <w:r>
        <w:rPr>
          <w:color w:val="000000"/>
        </w:rPr>
        <w:t>The first three words or phrases identify the subject matter with increasing particularity according to a taxonomical structure. The first one (</w:t>
      </w:r>
      <w:proofErr w:type="spellStart"/>
      <w:r>
        <w:rPr>
          <w:color w:val="000000"/>
        </w:rPr>
        <w:t>eg</w:t>
      </w:r>
      <w:proofErr w:type="spellEnd"/>
      <w:r>
        <w:rPr>
          <w:color w:val="000000"/>
        </w:rPr>
        <w:t xml:space="preserve"> “Crime” or “Landlord and tenant”) gives a very broad indication of the type of case. The second (</w:t>
      </w:r>
      <w:proofErr w:type="spellStart"/>
      <w:r>
        <w:rPr>
          <w:color w:val="000000"/>
        </w:rPr>
        <w:t>eg</w:t>
      </w:r>
      <w:proofErr w:type="spellEnd"/>
      <w:r>
        <w:rPr>
          <w:color w:val="000000"/>
        </w:rPr>
        <w:t xml:space="preserve"> “Theft” or “Forfeiture of lease”) narrows it down a bit, and the third (</w:t>
      </w:r>
      <w:proofErr w:type="spellStart"/>
      <w:r>
        <w:rPr>
          <w:color w:val="000000"/>
        </w:rPr>
        <w:t>eg</w:t>
      </w:r>
      <w:proofErr w:type="spellEnd"/>
      <w:r>
        <w:rPr>
          <w:color w:val="000000"/>
        </w:rPr>
        <w:t xml:space="preserve"> “Dishonest appropriation” or “Relief from forfeiture”) identifies its subject matter with still more precision. These three levels of particularity are reflected in the hierarchical headings in the Subject Matter index section of the ICLR Consolidated Index, where cases are listed according to their subject matter, and where it is therefore possible to find similar cases listed in the same place (an invaluable research tool).</w:t>
      </w:r>
    </w:p>
    <w:p w14:paraId="1833EB4E" w14:textId="77777777" w:rsidR="0015033F" w:rsidRDefault="00834871">
      <w:pPr>
        <w:pStyle w:val="Textbody"/>
        <w:spacing w:line="456" w:lineRule="auto"/>
        <w:rPr>
          <w:color w:val="000000"/>
        </w:rPr>
      </w:pPr>
      <w:r>
        <w:rPr>
          <w:color w:val="000000"/>
        </w:rPr>
        <w:t xml:space="preserve">The remainder of the catchwords set out briefly what the issues in the case were. They identify in inverted commas any words or phrases which the court has defined, and list any statutory provisions or other national or international legislation, conventions </w:t>
      </w:r>
      <w:proofErr w:type="spellStart"/>
      <w:r>
        <w:rPr>
          <w:color w:val="000000"/>
        </w:rPr>
        <w:t>etc</w:t>
      </w:r>
      <w:proofErr w:type="spellEnd"/>
      <w:r>
        <w:rPr>
          <w:color w:val="000000"/>
        </w:rPr>
        <w:t xml:space="preserve"> which the court has considered and ruled upon.</w:t>
      </w:r>
    </w:p>
    <w:p w14:paraId="1AD6C13E" w14:textId="77777777" w:rsidR="0015033F" w:rsidRDefault="00834871">
      <w:pPr>
        <w:pStyle w:val="Textbody"/>
        <w:spacing w:line="456" w:lineRule="auto"/>
      </w:pPr>
      <w:r>
        <w:rPr>
          <w:b/>
          <w:bCs/>
          <w:color w:val="000000"/>
        </w:rPr>
        <w:t xml:space="preserve">Note: </w:t>
      </w:r>
      <w:r>
        <w:rPr>
          <w:color w:val="000000"/>
        </w:rPr>
        <w:t>Though catchwords appear in the report, and can help one see at a glance what the case is about, they are </w:t>
      </w:r>
      <w:r>
        <w:rPr>
          <w:rStyle w:val="Emphasis"/>
          <w:i w:val="0"/>
          <w:color w:val="000000"/>
        </w:rPr>
        <w:t>not</w:t>
      </w:r>
      <w:r>
        <w:rPr>
          <w:color w:val="000000"/>
        </w:rPr>
        <w:t> a telegraphic form of headnote, and they do </w:t>
      </w:r>
      <w:r>
        <w:rPr>
          <w:rStyle w:val="Emphasis"/>
          <w:i w:val="0"/>
          <w:color w:val="000000"/>
        </w:rPr>
        <w:t>not</w:t>
      </w:r>
      <w:r>
        <w:rPr>
          <w:color w:val="000000"/>
        </w:rPr>
        <w:t> state the decision. They are essentially an indexing tool, a way of </w:t>
      </w:r>
      <w:proofErr w:type="spellStart"/>
      <w:r>
        <w:rPr>
          <w:rStyle w:val="Emphasis"/>
          <w:i w:val="0"/>
          <w:color w:val="000000"/>
        </w:rPr>
        <w:t>categorising</w:t>
      </w:r>
      <w:proofErr w:type="spellEnd"/>
      <w:r>
        <w:rPr>
          <w:color w:val="000000"/>
        </w:rPr>
        <w:t xml:space="preserve"> rather than of </w:t>
      </w:r>
      <w:proofErr w:type="spellStart"/>
      <w:r>
        <w:rPr>
          <w:color w:val="000000"/>
        </w:rPr>
        <w:t>summarising</w:t>
      </w:r>
      <w:proofErr w:type="spellEnd"/>
      <w:r>
        <w:rPr>
          <w:color w:val="000000"/>
        </w:rPr>
        <w:t xml:space="preserve"> the case.</w:t>
      </w:r>
    </w:p>
    <w:p w14:paraId="3BC019F3" w14:textId="77777777" w:rsidR="0015033F" w:rsidRDefault="00834871">
      <w:pPr>
        <w:pStyle w:val="Textbody"/>
        <w:rPr>
          <w:color w:val="000000"/>
        </w:rPr>
      </w:pPr>
      <w:r>
        <w:rPr>
          <w:color w:val="000000"/>
        </w:rPr>
        <w:lastRenderedPageBreak/>
        <w:br/>
      </w:r>
    </w:p>
    <w:p w14:paraId="53B0627B" w14:textId="77777777" w:rsidR="0015033F" w:rsidRDefault="00834871">
      <w:pPr>
        <w:pStyle w:val="Textbody"/>
        <w:spacing w:after="0" w:line="456" w:lineRule="auto"/>
        <w:rPr>
          <w:b/>
          <w:bCs/>
          <w:color w:val="000000"/>
        </w:rPr>
      </w:pPr>
      <w:r>
        <w:rPr>
          <w:b/>
          <w:bCs/>
          <w:color w:val="000000"/>
        </w:rPr>
        <w:t>6. Headnotes</w:t>
      </w:r>
    </w:p>
    <w:p w14:paraId="30BEF568" w14:textId="77777777" w:rsidR="0015033F" w:rsidRDefault="00834871">
      <w:pPr>
        <w:pStyle w:val="Textbody"/>
        <w:spacing w:after="0" w:line="456" w:lineRule="auto"/>
        <w:rPr>
          <w:color w:val="000000"/>
        </w:rPr>
      </w:pPr>
      <w:r>
        <w:rPr>
          <w:color w:val="000000"/>
        </w:rPr>
        <w:tab/>
        <w:t>A headnote is a summary, appearing at the beginning of a full text law report, encapsulating as precisely as possible the principle of law which the case establishes.</w:t>
      </w:r>
    </w:p>
    <w:p w14:paraId="28D95FC3" w14:textId="77777777" w:rsidR="0015033F" w:rsidRDefault="00834871">
      <w:pPr>
        <w:pStyle w:val="Textbody"/>
        <w:spacing w:after="0" w:line="456" w:lineRule="auto"/>
        <w:rPr>
          <w:rFonts w:ascii="Georgia, Times, 'Times New Roma" w:hAnsi="Georgia, Times, 'Times New Roma" w:hint="eastAsia"/>
          <w:color w:val="333333"/>
        </w:rPr>
      </w:pPr>
      <w:r>
        <w:rPr>
          <w:color w:val="000000"/>
        </w:rPr>
        <w:t xml:space="preserve">In some cases, this may consist of little more than a bald proposition, which in older reports used to be contained in a </w:t>
      </w:r>
      <w:proofErr w:type="spellStart"/>
      <w:r>
        <w:rPr>
          <w:color w:val="000000"/>
        </w:rPr>
        <w:t>sidenote</w:t>
      </w:r>
      <w:proofErr w:type="spellEnd"/>
      <w:r>
        <w:rPr>
          <w:color w:val="000000"/>
        </w:rPr>
        <w:t>. In most modern reports, however, the headnote will take a bipartite form in which the first part will outline the relevant facts and issues, and the second, in a separate paragraph or paragraphs, continuing after the word “</w:t>
      </w:r>
      <w:r>
        <w:rPr>
          <w:rStyle w:val="Emphasis"/>
          <w:i w:val="0"/>
          <w:color w:val="000000"/>
        </w:rPr>
        <w:t>Held</w:t>
      </w:r>
      <w:r>
        <w:rPr>
          <w:color w:val="000000"/>
        </w:rPr>
        <w:t>,” will set out the proposition(s) of law. This structure enables readers quickly and easily to ascertain what the case was about and identify the point of law decided.</w:t>
      </w:r>
    </w:p>
    <w:p w14:paraId="363B9288" w14:textId="77777777" w:rsidR="0015033F" w:rsidRDefault="00834871">
      <w:pPr>
        <w:pStyle w:val="Textbody"/>
        <w:spacing w:line="456" w:lineRule="auto"/>
        <w:rPr>
          <w:color w:val="000000"/>
        </w:rPr>
      </w:pPr>
      <w:r>
        <w:rPr>
          <w:color w:val="000000"/>
        </w:rPr>
        <w:t>In a few cases, a propositional headnote is more appropriate, particularly where the facts are largely irrelevant to any understanding of the principle, and would, if included, simply distract readers from the point of the case. Sometimes this will be followed by a brief statement of the court’s application of the principle to the facts.</w:t>
      </w:r>
    </w:p>
    <w:p w14:paraId="26714B51" w14:textId="77777777" w:rsidR="0015033F" w:rsidRDefault="00834871">
      <w:pPr>
        <w:pStyle w:val="Textbody"/>
        <w:spacing w:line="456" w:lineRule="auto"/>
        <w:rPr>
          <w:color w:val="000000"/>
        </w:rPr>
      </w:pPr>
      <w:r>
        <w:rPr>
          <w:color w:val="000000"/>
        </w:rPr>
        <w:t>Although the headnote adds value to the report of a judgment, it is the judgment itself which sets the precedent and binds subsequent decision-makers.</w:t>
      </w:r>
    </w:p>
    <w:p w14:paraId="63632915" w14:textId="77777777" w:rsidR="0015033F" w:rsidRDefault="00834871">
      <w:pPr>
        <w:pStyle w:val="Textbody"/>
        <w:spacing w:line="456" w:lineRule="auto"/>
        <w:rPr>
          <w:color w:val="000000"/>
        </w:rPr>
      </w:pPr>
      <w:r>
        <w:rPr>
          <w:color w:val="000000"/>
        </w:rPr>
        <w:t>Nevertheless, a good headnote is a work of meticulous legal draftsmanship and can withstand the closest of textual scrutiny. Accuracy is all. Make the proposition too general, and the principle appears either so watered down as to be meaningless or, more dangerously, misleadingly wide in its application. Draw it too narrowly, and it fails to express the principle on which the court based its decision. At its best, a headnote is a precious distillation – the single malt of legal learning.</w:t>
      </w:r>
      <w:r>
        <w:rPr>
          <w:color w:val="000000"/>
        </w:rPr>
        <w:br/>
      </w:r>
    </w:p>
    <w:p w14:paraId="6E2BEF7B" w14:textId="77777777" w:rsidR="0015033F" w:rsidRDefault="00834871">
      <w:pPr>
        <w:pStyle w:val="Textbody"/>
        <w:spacing w:after="0" w:line="456" w:lineRule="auto"/>
        <w:rPr>
          <w:b/>
          <w:bCs/>
          <w:color w:val="000000"/>
        </w:rPr>
      </w:pPr>
      <w:r>
        <w:rPr>
          <w:b/>
          <w:bCs/>
          <w:color w:val="000000"/>
        </w:rPr>
        <w:t xml:space="preserve">7. </w:t>
      </w:r>
      <w:proofErr w:type="spellStart"/>
      <w:r>
        <w:rPr>
          <w:b/>
          <w:bCs/>
          <w:color w:val="000000"/>
        </w:rPr>
        <w:t>Blocklists</w:t>
      </w:r>
      <w:proofErr w:type="spellEnd"/>
    </w:p>
    <w:p w14:paraId="268F2E42" w14:textId="77777777" w:rsidR="0015033F" w:rsidRDefault="00834871">
      <w:pPr>
        <w:pStyle w:val="Textbody"/>
        <w:spacing w:after="0" w:line="456" w:lineRule="auto"/>
        <w:rPr>
          <w:color w:val="000000"/>
        </w:rPr>
      </w:pPr>
      <w:r>
        <w:rPr>
          <w:color w:val="000000"/>
        </w:rPr>
        <w:tab/>
        <w:t xml:space="preserve">Where earlier cases have been judicially considered by the court in formulating a principle of law, this is noted in the headnote. Cases may have been followed or applied, or merely considered, or </w:t>
      </w:r>
      <w:r>
        <w:rPr>
          <w:color w:val="000000"/>
        </w:rPr>
        <w:lastRenderedPageBreak/>
        <w:t>they may have been disapproved or overruled. In the case of a decision being appealed, they will have been affirmed or reversed by the higher court.</w:t>
      </w:r>
    </w:p>
    <w:p w14:paraId="5DEE5518" w14:textId="77777777" w:rsidR="0015033F" w:rsidRDefault="00834871">
      <w:pPr>
        <w:pStyle w:val="Textbody"/>
        <w:spacing w:line="456" w:lineRule="auto"/>
        <w:rPr>
          <w:color w:val="000000"/>
        </w:rPr>
      </w:pPr>
      <w:r>
        <w:rPr>
          <w:color w:val="000000"/>
        </w:rPr>
        <w:t>But not all cases mentioned in a judgment will have been subject to such particular treatment, and it is therefore useful to have a list of all the cases referred to, together with their main report references and, for judgments given in the 21st century, their neutral citations.</w:t>
      </w:r>
    </w:p>
    <w:p w14:paraId="1B435FA0" w14:textId="77777777" w:rsidR="0015033F" w:rsidRDefault="00834871">
      <w:pPr>
        <w:pStyle w:val="Textbody"/>
        <w:spacing w:line="456" w:lineRule="auto"/>
        <w:rPr>
          <w:color w:val="000000"/>
        </w:rPr>
      </w:pPr>
      <w:r>
        <w:rPr>
          <w:color w:val="000000"/>
        </w:rPr>
        <w:t>What distinguishes ICLR reports from those of almost all other publishers is the fact that they also list, separately, the additional cases cited in argument and, where appropriate, cases not cited in oral argument but referred to in counsel’s skeleton arguments (written summaries of submissions exchanged in advance of the hearing).</w:t>
      </w:r>
    </w:p>
    <w:p w14:paraId="02B831CE" w14:textId="77777777" w:rsidR="0015033F" w:rsidRDefault="00834871">
      <w:pPr>
        <w:pStyle w:val="Textbody"/>
        <w:spacing w:line="456" w:lineRule="auto"/>
        <w:rPr>
          <w:color w:val="000000"/>
        </w:rPr>
      </w:pPr>
      <w:r>
        <w:rPr>
          <w:color w:val="000000"/>
        </w:rPr>
        <w:t>These lists of cases are referred to generically as “</w:t>
      </w:r>
      <w:proofErr w:type="spellStart"/>
      <w:r>
        <w:rPr>
          <w:color w:val="000000"/>
        </w:rPr>
        <w:t>blocklists</w:t>
      </w:r>
      <w:proofErr w:type="spellEnd"/>
      <w:r>
        <w:rPr>
          <w:color w:val="000000"/>
        </w:rPr>
        <w:t>”. The reporting references given for cases, where more than one such reference is available, are arranged in order of their citation status, with the Law Reports reference being given first (since this must be cited in preference to any other version), followed by the Weekly Law Reports, specialist series published by the ICLR, and then various series, such as the All England Law Reports and Lloyd’s Law Reports, from other publishers. This is also the order in which such references are given in the Consolidated Index, which indexes all the reports published in these and in certain other widely used series.</w:t>
      </w:r>
    </w:p>
    <w:p w14:paraId="6F5B538C" w14:textId="77777777" w:rsidR="0015033F" w:rsidRDefault="00834871">
      <w:pPr>
        <w:pStyle w:val="Textbody"/>
        <w:rPr>
          <w:color w:val="000000"/>
        </w:rPr>
      </w:pPr>
      <w:r>
        <w:rPr>
          <w:color w:val="000000"/>
        </w:rPr>
        <w:br/>
      </w:r>
    </w:p>
    <w:p w14:paraId="1DA1060B" w14:textId="77777777" w:rsidR="0015033F" w:rsidRDefault="00834871">
      <w:pPr>
        <w:pStyle w:val="Textbody"/>
        <w:spacing w:after="0" w:line="456" w:lineRule="auto"/>
        <w:rPr>
          <w:b/>
          <w:bCs/>
          <w:color w:val="000000"/>
        </w:rPr>
      </w:pPr>
      <w:r>
        <w:rPr>
          <w:b/>
          <w:bCs/>
          <w:color w:val="000000"/>
        </w:rPr>
        <w:t>8. Facts and Procedural History</w:t>
      </w:r>
    </w:p>
    <w:p w14:paraId="457198DB" w14:textId="77777777" w:rsidR="0015033F" w:rsidRDefault="00834871">
      <w:pPr>
        <w:pStyle w:val="Textbody"/>
        <w:spacing w:after="0" w:line="456" w:lineRule="auto"/>
        <w:rPr>
          <w:color w:val="000000"/>
        </w:rPr>
      </w:pPr>
      <w:r>
        <w:rPr>
          <w:color w:val="000000"/>
        </w:rPr>
        <w:tab/>
        <w:t xml:space="preserve">What is sometimes referred to as the “facts paragraph” is a brief introduction to the case, giving the full names of the parties and outlining the nature and history of the proceedings (action, application, appeal </w:t>
      </w:r>
      <w:proofErr w:type="spellStart"/>
      <w:r>
        <w:rPr>
          <w:color w:val="000000"/>
        </w:rPr>
        <w:t>etc</w:t>
      </w:r>
      <w:proofErr w:type="spellEnd"/>
      <w:r>
        <w:rPr>
          <w:color w:val="000000"/>
        </w:rPr>
        <w:t>) between them from their commencement to the current hearing. Additional information provided here may include a summary of the claims, or the grounds of appeal taken from the appellant’s notice, or the case stated by a lower court on an appeal by case stated.</w:t>
      </w:r>
    </w:p>
    <w:p w14:paraId="3201E0A0" w14:textId="77777777" w:rsidR="0015033F" w:rsidRDefault="00834871">
      <w:pPr>
        <w:pStyle w:val="Textbody"/>
        <w:spacing w:line="456" w:lineRule="auto"/>
        <w:rPr>
          <w:color w:val="000000"/>
        </w:rPr>
      </w:pPr>
      <w:r>
        <w:rPr>
          <w:color w:val="000000"/>
        </w:rPr>
        <w:t xml:space="preserve">In some older reports, the facts of the case are also </w:t>
      </w:r>
      <w:proofErr w:type="spellStart"/>
      <w:r>
        <w:rPr>
          <w:color w:val="000000"/>
        </w:rPr>
        <w:t>summarised</w:t>
      </w:r>
      <w:proofErr w:type="spellEnd"/>
      <w:r>
        <w:rPr>
          <w:color w:val="000000"/>
        </w:rPr>
        <w:t xml:space="preserve"> here, rather than being set out in full in the judgment from which they are taken, so that only that part of the judgment dealing with the law and its application to the facts is reproduced.</w:t>
      </w:r>
    </w:p>
    <w:p w14:paraId="0D133684" w14:textId="77777777" w:rsidR="0015033F" w:rsidRDefault="00834871">
      <w:pPr>
        <w:pStyle w:val="Textbody"/>
        <w:rPr>
          <w:color w:val="000000"/>
        </w:rPr>
      </w:pPr>
      <w:r>
        <w:rPr>
          <w:color w:val="000000"/>
        </w:rPr>
        <w:lastRenderedPageBreak/>
        <w:br/>
      </w:r>
    </w:p>
    <w:p w14:paraId="351F1802" w14:textId="77777777" w:rsidR="0015033F" w:rsidRDefault="0015033F">
      <w:pPr>
        <w:pStyle w:val="Textbody"/>
        <w:spacing w:after="0" w:line="456" w:lineRule="auto"/>
        <w:rPr>
          <w:color w:val="000000"/>
        </w:rPr>
      </w:pPr>
    </w:p>
    <w:p w14:paraId="04E8C518" w14:textId="77777777" w:rsidR="0015033F" w:rsidRDefault="00834871">
      <w:pPr>
        <w:pStyle w:val="Textbody"/>
        <w:rPr>
          <w:color w:val="000000"/>
        </w:rPr>
      </w:pPr>
      <w:r>
        <w:rPr>
          <w:color w:val="000000"/>
        </w:rPr>
        <w:br/>
      </w:r>
    </w:p>
    <w:p w14:paraId="70DDDE51" w14:textId="77777777" w:rsidR="0015033F" w:rsidRDefault="00834871">
      <w:pPr>
        <w:pStyle w:val="Textbody"/>
        <w:spacing w:after="0" w:line="456" w:lineRule="auto"/>
        <w:rPr>
          <w:b/>
          <w:bCs/>
          <w:color w:val="000000"/>
        </w:rPr>
      </w:pPr>
      <w:r>
        <w:rPr>
          <w:b/>
          <w:bCs/>
          <w:color w:val="000000"/>
        </w:rPr>
        <w:t>9. Appearances</w:t>
      </w:r>
    </w:p>
    <w:p w14:paraId="0AA6B6E6" w14:textId="77777777" w:rsidR="0015033F" w:rsidRDefault="00834871">
      <w:pPr>
        <w:pStyle w:val="Textbody"/>
        <w:spacing w:after="0" w:line="456" w:lineRule="auto"/>
        <w:rPr>
          <w:color w:val="000000"/>
        </w:rPr>
      </w:pPr>
      <w:r>
        <w:rPr>
          <w:color w:val="000000"/>
        </w:rPr>
        <w:tab/>
        <w:t>The names of counsel (barristers) and/or solicitor advocates are given in order of seniority. In more recent reports, these are followed by the names of the solicitors who instructed them. (In older cases, the solicitors’ names are listed at the end of the report.)</w:t>
      </w:r>
    </w:p>
    <w:p w14:paraId="38C35791" w14:textId="77777777" w:rsidR="0015033F" w:rsidRDefault="00834871">
      <w:pPr>
        <w:pStyle w:val="Textbody"/>
        <w:spacing w:line="456" w:lineRule="auto"/>
        <w:rPr>
          <w:color w:val="000000"/>
        </w:rPr>
      </w:pPr>
      <w:r>
        <w:rPr>
          <w:color w:val="000000"/>
        </w:rPr>
        <w:t xml:space="preserve">The names are grouped according to the parties they represented, in the order in which they would have been heard in court, </w:t>
      </w:r>
      <w:proofErr w:type="spellStart"/>
      <w:r>
        <w:rPr>
          <w:color w:val="000000"/>
        </w:rPr>
        <w:t>ie</w:t>
      </w:r>
      <w:proofErr w:type="spellEnd"/>
      <w:r>
        <w:rPr>
          <w:color w:val="000000"/>
        </w:rPr>
        <w:t xml:space="preserve"> claimant first at first instance, appellant first on appeal.</w:t>
      </w:r>
    </w:p>
    <w:p w14:paraId="3903307D" w14:textId="77777777" w:rsidR="0015033F" w:rsidRDefault="0015033F">
      <w:pPr>
        <w:pStyle w:val="Textbody"/>
        <w:spacing w:after="0" w:line="456" w:lineRule="auto"/>
        <w:rPr>
          <w:color w:val="000000"/>
        </w:rPr>
      </w:pPr>
    </w:p>
    <w:p w14:paraId="4A680AF2" w14:textId="77777777" w:rsidR="0015033F" w:rsidRDefault="00834871">
      <w:pPr>
        <w:pStyle w:val="Textbody"/>
        <w:spacing w:after="0" w:line="456" w:lineRule="auto"/>
        <w:rPr>
          <w:b/>
          <w:bCs/>
          <w:color w:val="000000"/>
        </w:rPr>
      </w:pPr>
      <w:r>
        <w:rPr>
          <w:b/>
          <w:bCs/>
          <w:color w:val="000000"/>
        </w:rPr>
        <w:t>10. Argument</w:t>
      </w:r>
    </w:p>
    <w:p w14:paraId="1478B019" w14:textId="77777777" w:rsidR="0015033F" w:rsidRDefault="00834871">
      <w:pPr>
        <w:pStyle w:val="Textbody"/>
        <w:spacing w:after="0" w:line="456" w:lineRule="auto"/>
        <w:rPr>
          <w:color w:val="000000"/>
        </w:rPr>
      </w:pPr>
      <w:r>
        <w:rPr>
          <w:color w:val="000000"/>
        </w:rPr>
        <w:tab/>
        <w:t>Where a summary of counsel’s submissions is included in the report, this is set out after the name(s) of counsel who presented it. The summary is based on the oral submissions actually given in court during the hearing, which the reporter has attended in person, supplemented by the skeleton arguments.</w:t>
      </w:r>
    </w:p>
    <w:p w14:paraId="75085BD0" w14:textId="77777777" w:rsidR="0015033F" w:rsidRDefault="00834871">
      <w:pPr>
        <w:pStyle w:val="Textbody"/>
        <w:spacing w:after="0" w:line="456" w:lineRule="auto"/>
        <w:rPr>
          <w:color w:val="000000"/>
        </w:rPr>
      </w:pPr>
      <w:r>
        <w:rPr>
          <w:color w:val="000000"/>
        </w:rPr>
        <w:t xml:space="preserve">The note of argument can demonstrate exactly what points were put to the court, and which cases and materials were cited in support of those points. It is a feature which adds enormously to the value of the report to future readers. It can also help establish whether a particular point was before the court, for example where it is suggested that a particular decision was arrived at “per </w:t>
      </w:r>
      <w:proofErr w:type="spellStart"/>
      <w:r>
        <w:rPr>
          <w:color w:val="000000"/>
        </w:rPr>
        <w:t>incuriam</w:t>
      </w:r>
      <w:proofErr w:type="spellEnd"/>
      <w:r>
        <w:rPr>
          <w:color w:val="000000"/>
        </w:rPr>
        <w:t>” (</w:t>
      </w:r>
      <w:proofErr w:type="spellStart"/>
      <w:r>
        <w:rPr>
          <w:color w:val="000000"/>
        </w:rPr>
        <w:t>ie</w:t>
      </w:r>
      <w:proofErr w:type="spellEnd"/>
      <w:r>
        <w:rPr>
          <w:color w:val="000000"/>
        </w:rPr>
        <w:t xml:space="preserve"> without reference to a critical authority).</w:t>
      </w:r>
    </w:p>
    <w:p w14:paraId="5CB72542" w14:textId="77777777" w:rsidR="0015033F" w:rsidRDefault="00834871">
      <w:pPr>
        <w:pStyle w:val="Textbody"/>
        <w:spacing w:line="456" w:lineRule="auto"/>
        <w:rPr>
          <w:color w:val="000000"/>
        </w:rPr>
      </w:pPr>
      <w:r>
        <w:rPr>
          <w:color w:val="000000"/>
        </w:rPr>
        <w:t>This summary of argument is a feature unique to the Law Reports published by the ICLR (no other English series regularly includes it) and is only possible by virtue of the fact that the ICLR’s reporters routinely attend court during the hearing and arguing of cases, and not merely when judgment is given. Once the reporter has prepared a note of argument, a copy is sent to the counsel concerned for them to check and approve its accuracy.</w:t>
      </w:r>
    </w:p>
    <w:p w14:paraId="791D47FD" w14:textId="77777777" w:rsidR="0015033F" w:rsidRDefault="00834871">
      <w:pPr>
        <w:pStyle w:val="Textbody"/>
        <w:rPr>
          <w:color w:val="000000"/>
        </w:rPr>
      </w:pPr>
      <w:r>
        <w:rPr>
          <w:color w:val="000000"/>
        </w:rPr>
        <w:lastRenderedPageBreak/>
        <w:br/>
      </w:r>
    </w:p>
    <w:p w14:paraId="735FAE24" w14:textId="77777777" w:rsidR="0015033F" w:rsidRDefault="00834871">
      <w:pPr>
        <w:pStyle w:val="Textbody"/>
        <w:spacing w:after="0" w:line="456" w:lineRule="auto"/>
        <w:rPr>
          <w:b/>
          <w:bCs/>
          <w:color w:val="000000"/>
        </w:rPr>
      </w:pPr>
      <w:r>
        <w:rPr>
          <w:b/>
          <w:bCs/>
          <w:color w:val="000000"/>
        </w:rPr>
        <w:t>11. Judgement(s)</w:t>
      </w:r>
    </w:p>
    <w:p w14:paraId="38A89763" w14:textId="77777777" w:rsidR="0015033F" w:rsidRDefault="00834871">
      <w:pPr>
        <w:pStyle w:val="Textbody"/>
        <w:spacing w:after="0" w:line="456" w:lineRule="auto"/>
        <w:rPr>
          <w:color w:val="000000"/>
        </w:rPr>
      </w:pPr>
      <w:r>
        <w:rPr>
          <w:color w:val="000000"/>
        </w:rPr>
        <w:tab/>
        <w:t xml:space="preserve">The largest and most important element of a full text law report is the judgment or judgments given in the case. The version used in the report is based on an authorized transcript, approved by the court as an accurate record. It is, however, then subject to a number of editing processes. First, the reporter checks all the references to, and quotations from, other cases, textbooks, statutes and other published materials in the judgment. The text of the judgment is brought into conformity with the ICLR’s “house style” with regard to dates, certain kinds of </w:t>
      </w:r>
      <w:proofErr w:type="spellStart"/>
      <w:r>
        <w:rPr>
          <w:color w:val="000000"/>
        </w:rPr>
        <w:t>recognised</w:t>
      </w:r>
      <w:proofErr w:type="spellEnd"/>
      <w:r>
        <w:rPr>
          <w:color w:val="000000"/>
        </w:rPr>
        <w:t xml:space="preserve"> abbreviations, modes of citation and so forth. Factual references such as dates, sums of money </w:t>
      </w:r>
      <w:proofErr w:type="spellStart"/>
      <w:r>
        <w:rPr>
          <w:color w:val="000000"/>
        </w:rPr>
        <w:t>etc</w:t>
      </w:r>
      <w:proofErr w:type="spellEnd"/>
      <w:r>
        <w:rPr>
          <w:color w:val="000000"/>
        </w:rPr>
        <w:t xml:space="preserve"> are checked for accuracy and consistency.</w:t>
      </w:r>
    </w:p>
    <w:p w14:paraId="36C471A1" w14:textId="77777777" w:rsidR="0015033F" w:rsidRDefault="00834871">
      <w:pPr>
        <w:pStyle w:val="Textbody"/>
        <w:spacing w:line="456" w:lineRule="auto"/>
        <w:rPr>
          <w:color w:val="000000"/>
        </w:rPr>
      </w:pPr>
      <w:r>
        <w:rPr>
          <w:color w:val="000000"/>
        </w:rPr>
        <w:t>Once the reporter has handed in the report, it is subedited and edited in-house, and the references and quotations in the judgment are double-checked to ensure complete accuracy. When the report is complete, a proof copy, including the edited version of the judgment, is sent to the judge or judges for their approval. Although judges are welcome to comment on the headnote or other aspects of the report, the main purpose of sending them the proof is for them to approve the judgment. Any queries or anomalies can be brought to their attention at this stage and it is not uncommon for judges themselves to propose minor textual alterations at this stage.</w:t>
      </w:r>
    </w:p>
    <w:p w14:paraId="2947FDF7" w14:textId="77777777" w:rsidR="0015033F" w:rsidRDefault="00834871">
      <w:pPr>
        <w:pStyle w:val="Textbody"/>
        <w:spacing w:line="456" w:lineRule="auto"/>
        <w:rPr>
          <w:color w:val="000000"/>
        </w:rPr>
      </w:pPr>
      <w:r>
        <w:rPr>
          <w:color w:val="000000"/>
        </w:rPr>
        <w:t>As a result of these processes, the version of the judgment included in a full text law report published by ICLR is more authoritative and reliable than the transcript.</w:t>
      </w:r>
    </w:p>
    <w:p w14:paraId="49E6A35A" w14:textId="77777777" w:rsidR="0015033F" w:rsidRDefault="00834871">
      <w:pPr>
        <w:pStyle w:val="Textbody"/>
        <w:spacing w:line="456" w:lineRule="auto"/>
        <w:rPr>
          <w:color w:val="000000"/>
        </w:rPr>
      </w:pPr>
      <w:r>
        <w:rPr>
          <w:color w:val="000000"/>
        </w:rPr>
        <w:t xml:space="preserve">Where judgment has been reserved, rather than being given “ex tempore” at the conclusion of the oral hearing, it is preceded by the words “Cur </w:t>
      </w:r>
      <w:proofErr w:type="spellStart"/>
      <w:r>
        <w:rPr>
          <w:color w:val="000000"/>
        </w:rPr>
        <w:t>adv</w:t>
      </w:r>
      <w:proofErr w:type="spellEnd"/>
      <w:r>
        <w:rPr>
          <w:color w:val="000000"/>
        </w:rPr>
        <w:t xml:space="preserve"> </w:t>
      </w:r>
      <w:proofErr w:type="spellStart"/>
      <w:r>
        <w:rPr>
          <w:color w:val="000000"/>
        </w:rPr>
        <w:t>vult</w:t>
      </w:r>
      <w:proofErr w:type="spellEnd"/>
      <w:r>
        <w:rPr>
          <w:color w:val="000000"/>
        </w:rPr>
        <w:t xml:space="preserve">” (curia </w:t>
      </w:r>
      <w:proofErr w:type="spellStart"/>
      <w:r>
        <w:rPr>
          <w:color w:val="000000"/>
        </w:rPr>
        <w:t>advisari</w:t>
      </w:r>
      <w:proofErr w:type="spellEnd"/>
      <w:r>
        <w:rPr>
          <w:color w:val="000000"/>
        </w:rPr>
        <w:t xml:space="preserve"> </w:t>
      </w:r>
      <w:proofErr w:type="spellStart"/>
      <w:r>
        <w:rPr>
          <w:color w:val="000000"/>
        </w:rPr>
        <w:t>vult</w:t>
      </w:r>
      <w:proofErr w:type="spellEnd"/>
      <w:r>
        <w:rPr>
          <w:color w:val="000000"/>
        </w:rPr>
        <w:t>, Latin for “the court wishes to be advised”) or “The court took time for consideration”.</w:t>
      </w:r>
    </w:p>
    <w:p w14:paraId="30159D7F" w14:textId="77777777" w:rsidR="0015033F" w:rsidRDefault="00834871">
      <w:pPr>
        <w:pStyle w:val="Textbody"/>
        <w:rPr>
          <w:color w:val="000000"/>
        </w:rPr>
      </w:pPr>
      <w:r>
        <w:rPr>
          <w:color w:val="000000"/>
        </w:rPr>
        <w:br/>
      </w:r>
    </w:p>
    <w:p w14:paraId="4847D6E5" w14:textId="77777777" w:rsidR="0015033F" w:rsidRDefault="0015033F">
      <w:pPr>
        <w:pStyle w:val="Textbody"/>
        <w:spacing w:after="0" w:line="456" w:lineRule="auto"/>
        <w:rPr>
          <w:b/>
          <w:bCs/>
          <w:color w:val="000000"/>
        </w:rPr>
      </w:pPr>
    </w:p>
    <w:p w14:paraId="070BED28" w14:textId="77777777" w:rsidR="0015033F" w:rsidRDefault="00834871">
      <w:pPr>
        <w:pStyle w:val="Textbody"/>
        <w:spacing w:after="0" w:line="456" w:lineRule="auto"/>
        <w:rPr>
          <w:b/>
          <w:bCs/>
          <w:color w:val="000000"/>
        </w:rPr>
      </w:pPr>
      <w:r>
        <w:rPr>
          <w:b/>
          <w:bCs/>
          <w:color w:val="000000"/>
        </w:rPr>
        <w:t>12. Orders</w:t>
      </w:r>
    </w:p>
    <w:p w14:paraId="6F95C276" w14:textId="77777777" w:rsidR="0015033F" w:rsidRDefault="00834871">
      <w:pPr>
        <w:pStyle w:val="Textbody"/>
        <w:spacing w:after="0" w:line="456" w:lineRule="auto"/>
        <w:rPr>
          <w:color w:val="000000"/>
        </w:rPr>
      </w:pPr>
      <w:r>
        <w:rPr>
          <w:color w:val="000000"/>
        </w:rPr>
        <w:lastRenderedPageBreak/>
        <w:tab/>
        <w:t>At the conclusion of the judgment, there is a brief statement of the orders afterwards given by the court. If there has been an application for leave to appeal, the decision whether or not to grant it will also be recorded.</w:t>
      </w:r>
    </w:p>
    <w:p w14:paraId="5F522C24" w14:textId="77777777" w:rsidR="0015033F" w:rsidRDefault="00834871">
      <w:pPr>
        <w:pStyle w:val="Textbody"/>
        <w:rPr>
          <w:color w:val="000000"/>
        </w:rPr>
      </w:pPr>
      <w:r>
        <w:rPr>
          <w:color w:val="000000"/>
        </w:rPr>
        <w:br/>
      </w:r>
    </w:p>
    <w:p w14:paraId="6E7443E8" w14:textId="77777777" w:rsidR="0015033F" w:rsidRDefault="00834871">
      <w:pPr>
        <w:pStyle w:val="Textbody"/>
        <w:spacing w:after="0" w:line="456" w:lineRule="auto"/>
        <w:rPr>
          <w:b/>
          <w:bCs/>
          <w:color w:val="000000"/>
        </w:rPr>
      </w:pPr>
      <w:r>
        <w:rPr>
          <w:b/>
          <w:bCs/>
          <w:color w:val="000000"/>
        </w:rPr>
        <w:t>13. Reporter</w:t>
      </w:r>
    </w:p>
    <w:p w14:paraId="7D5E0B85" w14:textId="77777777" w:rsidR="0015033F" w:rsidRDefault="00834871">
      <w:pPr>
        <w:pStyle w:val="Textbody"/>
        <w:spacing w:after="0" w:line="456" w:lineRule="auto"/>
        <w:rPr>
          <w:color w:val="000000"/>
        </w:rPr>
      </w:pPr>
      <w:r>
        <w:rPr>
          <w:color w:val="000000"/>
        </w:rPr>
        <w:tab/>
        <w:t xml:space="preserve">To ensure their accuracy and reliability, law reports must be written and edited by qualified lawyers, </w:t>
      </w:r>
      <w:proofErr w:type="spellStart"/>
      <w:r>
        <w:rPr>
          <w:color w:val="000000"/>
        </w:rPr>
        <w:t>ie</w:t>
      </w:r>
      <w:proofErr w:type="spellEnd"/>
      <w:r>
        <w:rPr>
          <w:color w:val="000000"/>
        </w:rPr>
        <w:t xml:space="preserve"> barristers or solicitors.</w:t>
      </w:r>
    </w:p>
    <w:p w14:paraId="1BECF16B" w14:textId="77777777" w:rsidR="0015033F" w:rsidRDefault="00834871">
      <w:pPr>
        <w:pStyle w:val="Textbody"/>
        <w:spacing w:line="456" w:lineRule="auto"/>
        <w:rPr>
          <w:color w:val="000000"/>
        </w:rPr>
      </w:pPr>
      <w:r>
        <w:rPr>
          <w:color w:val="000000"/>
        </w:rPr>
        <w:t>Where the name of the reporter is given in full, it will be accompanied by the word “barrister” or “solicitor”; but for the reporters of the ICLR who have been officially appointed to cover particular courts, and whose names and qualifications are listed in the front of the published volume, only their initials are given on the actual report.</w:t>
      </w:r>
    </w:p>
    <w:p w14:paraId="6BF65256" w14:textId="77777777" w:rsidR="0015033F" w:rsidRDefault="0015033F">
      <w:pPr>
        <w:pStyle w:val="HorizontalLine"/>
        <w:rPr>
          <w:color w:val="000000"/>
          <w:sz w:val="24"/>
          <w:szCs w:val="24"/>
        </w:rPr>
      </w:pPr>
    </w:p>
    <w:p w14:paraId="63C19D7C" w14:textId="77777777" w:rsidR="0015033F" w:rsidRDefault="00834871">
      <w:pPr>
        <w:pStyle w:val="Textbody"/>
      </w:pPr>
      <w:r>
        <w:rPr>
          <w:b/>
          <w:bCs/>
          <w:color w:val="000000"/>
        </w:rPr>
        <w:t>Casebooks</w:t>
      </w:r>
      <w:r>
        <w:rPr>
          <w:color w:val="000000"/>
        </w:rPr>
        <w:br/>
      </w:r>
      <w:r>
        <w:rPr>
          <w:color w:val="000000"/>
        </w:rPr>
        <w:tab/>
        <w:t>A </w:t>
      </w:r>
      <w:r>
        <w:rPr>
          <w:b/>
          <w:color w:val="000000"/>
        </w:rPr>
        <w:t>casebook</w:t>
      </w:r>
      <w:r>
        <w:rPr>
          <w:color w:val="000000"/>
        </w:rPr>
        <w:t> is a type of </w:t>
      </w:r>
      <w:hyperlink r:id="rId8" w:history="1">
        <w:r>
          <w:rPr>
            <w:color w:val="000000"/>
          </w:rPr>
          <w:t>textbook</w:t>
        </w:r>
      </w:hyperlink>
      <w:r>
        <w:rPr>
          <w:color w:val="000000"/>
        </w:rPr>
        <w:t> used primarily by students in </w:t>
      </w:r>
      <w:hyperlink r:id="rId9" w:history="1">
        <w:r>
          <w:rPr>
            <w:color w:val="000000"/>
          </w:rPr>
          <w:t>law schools</w:t>
        </w:r>
      </w:hyperlink>
      <w:r>
        <w:rPr>
          <w:color w:val="000000"/>
        </w:rPr>
        <w:t>. Rather than simply laying out the </w:t>
      </w:r>
      <w:hyperlink r:id="rId10" w:history="1">
        <w:r>
          <w:rPr>
            <w:color w:val="000000"/>
          </w:rPr>
          <w:t>legal doctrine</w:t>
        </w:r>
      </w:hyperlink>
      <w:r>
        <w:rPr>
          <w:color w:val="000000"/>
        </w:rPr>
        <w:t> in a particular area of study, a casebook contains excerpts from </w:t>
      </w:r>
      <w:hyperlink r:id="rId11" w:history="1">
        <w:r>
          <w:rPr>
            <w:color w:val="000000"/>
          </w:rPr>
          <w:t>legal cases</w:t>
        </w:r>
      </w:hyperlink>
      <w:r>
        <w:rPr>
          <w:color w:val="000000"/>
        </w:rPr>
        <w:t> in which the law of that area was applied. It is then up to the student to analyze the language of the case in order to determine what rule was applied and how the </w:t>
      </w:r>
      <w:hyperlink r:id="rId12" w:history="1">
        <w:r>
          <w:rPr>
            <w:color w:val="000000"/>
          </w:rPr>
          <w:t>court</w:t>
        </w:r>
      </w:hyperlink>
      <w:r>
        <w:rPr>
          <w:color w:val="000000"/>
        </w:rPr>
        <w:t> applied it. Casebooks sometimes also contain excerpts from </w:t>
      </w:r>
      <w:hyperlink r:id="rId13" w:history="1">
        <w:r>
          <w:rPr>
            <w:color w:val="000000"/>
          </w:rPr>
          <w:t>law review</w:t>
        </w:r>
      </w:hyperlink>
      <w:r>
        <w:rPr>
          <w:color w:val="000000"/>
        </w:rPr>
        <w:t> articles and </w:t>
      </w:r>
      <w:hyperlink r:id="rId14" w:history="1">
        <w:r>
          <w:rPr>
            <w:color w:val="000000"/>
          </w:rPr>
          <w:t>legal treatises</w:t>
        </w:r>
      </w:hyperlink>
      <w:r>
        <w:rPr>
          <w:color w:val="000000"/>
        </w:rPr>
        <w:t>, historical notes, editorial commentary, and other related materials to provide background for the cases.</w:t>
      </w:r>
    </w:p>
    <w:p w14:paraId="15C37BC9" w14:textId="77777777" w:rsidR="0015033F" w:rsidRDefault="00834871">
      <w:pPr>
        <w:pStyle w:val="Textbody"/>
        <w:spacing w:line="240" w:lineRule="auto"/>
      </w:pPr>
      <w:r>
        <w:rPr>
          <w:color w:val="000000"/>
        </w:rPr>
        <w:t>The teaching style based on casebooks is known as the </w:t>
      </w:r>
      <w:hyperlink r:id="rId15" w:history="1">
        <w:r>
          <w:rPr>
            <w:color w:val="000000"/>
          </w:rPr>
          <w:t>casebook method</w:t>
        </w:r>
      </w:hyperlink>
      <w:r>
        <w:rPr>
          <w:color w:val="000000"/>
        </w:rPr>
        <w:t> and is supposed to instill in law students how to "think like a </w:t>
      </w:r>
      <w:proofErr w:type="spellStart"/>
      <w:r w:rsidR="007E66DB">
        <w:fldChar w:fldCharType="begin"/>
      </w:r>
      <w:r w:rsidR="007E66DB">
        <w:instrText xml:space="preserve"> HYPERLINK "https://en.wikipedia.org/wiki/Lawyer" </w:instrText>
      </w:r>
      <w:r w:rsidR="007E66DB">
        <w:fldChar w:fldCharType="separate"/>
      </w:r>
      <w:r>
        <w:rPr>
          <w:color w:val="000000"/>
        </w:rPr>
        <w:t>lawyer</w:t>
      </w:r>
      <w:r w:rsidR="007E66DB">
        <w:rPr>
          <w:color w:val="000000"/>
        </w:rPr>
        <w:fldChar w:fldCharType="end"/>
      </w:r>
      <w:r>
        <w:rPr>
          <w:color w:val="000000"/>
        </w:rPr>
        <w:t>."The</w:t>
      </w:r>
      <w:proofErr w:type="spellEnd"/>
      <w:r>
        <w:rPr>
          <w:color w:val="000000"/>
        </w:rPr>
        <w:t xml:space="preserve"> casebook method is most often used in law schools in countries with </w:t>
      </w:r>
      <w:hyperlink r:id="rId16" w:history="1">
        <w:r>
          <w:rPr>
            <w:color w:val="000000"/>
          </w:rPr>
          <w:t>common law</w:t>
        </w:r>
      </w:hyperlink>
      <w:r>
        <w:rPr>
          <w:color w:val="000000"/>
        </w:rPr>
        <w:t> </w:t>
      </w:r>
      <w:hyperlink r:id="rId17" w:history="1">
        <w:r>
          <w:rPr>
            <w:color w:val="000000"/>
          </w:rPr>
          <w:t>legal systems</w:t>
        </w:r>
      </w:hyperlink>
      <w:r>
        <w:rPr>
          <w:color w:val="000000"/>
        </w:rPr>
        <w:t>, where </w:t>
      </w:r>
      <w:hyperlink r:id="rId18" w:history="1">
        <w:r>
          <w:rPr>
            <w:color w:val="000000"/>
          </w:rPr>
          <w:t>case law</w:t>
        </w:r>
      </w:hyperlink>
      <w:r>
        <w:rPr>
          <w:color w:val="000000"/>
        </w:rPr>
        <w:t> is a major </w:t>
      </w:r>
      <w:hyperlink r:id="rId19" w:history="1">
        <w:r>
          <w:rPr>
            <w:color w:val="000000"/>
          </w:rPr>
          <w:t>source of law</w:t>
        </w:r>
      </w:hyperlink>
      <w:r>
        <w:rPr>
          <w:color w:val="000000"/>
        </w:rPr>
        <w:t>.</w:t>
      </w:r>
    </w:p>
    <w:p w14:paraId="07708A6A" w14:textId="77777777" w:rsidR="0015033F" w:rsidRDefault="00834871">
      <w:pPr>
        <w:pStyle w:val="Textbody"/>
        <w:spacing w:line="240" w:lineRule="auto"/>
      </w:pPr>
      <w:r>
        <w:rPr>
          <w:color w:val="000000"/>
        </w:rPr>
        <w:t>Most casebooks are authored by law </w:t>
      </w:r>
      <w:hyperlink r:id="rId20" w:history="1">
        <w:r>
          <w:rPr>
            <w:color w:val="000000"/>
          </w:rPr>
          <w:t>professors</w:t>
        </w:r>
      </w:hyperlink>
      <w:r>
        <w:rPr>
          <w:color w:val="000000"/>
        </w:rPr>
        <w:t>, usually with two, three, or four authors, at least one of whom will be a professor at the top of his or her field in the area under discussion. New editions of casebooks often retain the names of famous professors on their covers decades after those professors have died. Updating of the books, then, falls on the shoulders of a younger generation of their colleagues. Such casebooks are often known by the names of the leading professor authors, such as </w:t>
      </w:r>
      <w:hyperlink r:id="rId21" w:history="1">
        <w:r>
          <w:rPr>
            <w:color w:val="000000"/>
          </w:rPr>
          <w:t>Prosser</w:t>
        </w:r>
      </w:hyperlink>
      <w:r>
        <w:rPr>
          <w:color w:val="000000"/>
        </w:rPr>
        <w:t>, Wade, &amp; Schwartz's, </w:t>
      </w:r>
      <w:hyperlink r:id="rId22" w:history="1">
        <w:r>
          <w:rPr>
            <w:i/>
            <w:color w:val="000000"/>
          </w:rPr>
          <w:t>Torts</w:t>
        </w:r>
      </w:hyperlink>
      <w:r>
        <w:rPr>
          <w:i/>
          <w:color w:val="000000"/>
        </w:rPr>
        <w:t>: Cases &amp; Materials</w:t>
      </w:r>
      <w:r>
        <w:rPr>
          <w:color w:val="000000"/>
        </w:rPr>
        <w:t> (now in a 13th edition).</w:t>
      </w:r>
    </w:p>
    <w:p w14:paraId="037AC76C" w14:textId="77777777" w:rsidR="0015033F" w:rsidRDefault="0015033F">
      <w:pPr>
        <w:pStyle w:val="Textbody"/>
        <w:rPr>
          <w:b/>
          <w:bCs/>
          <w:color w:val="000000"/>
        </w:rPr>
      </w:pPr>
    </w:p>
    <w:p w14:paraId="18413595" w14:textId="77777777" w:rsidR="0015033F" w:rsidRDefault="0015033F">
      <w:pPr>
        <w:pStyle w:val="Textbody"/>
        <w:rPr>
          <w:b/>
          <w:bCs/>
          <w:color w:val="000000"/>
        </w:rPr>
      </w:pPr>
    </w:p>
    <w:p w14:paraId="18B14336" w14:textId="77777777" w:rsidR="0015033F" w:rsidRDefault="0015033F">
      <w:pPr>
        <w:pStyle w:val="Textbody"/>
        <w:rPr>
          <w:b/>
          <w:bCs/>
          <w:color w:val="000000"/>
        </w:rPr>
      </w:pPr>
    </w:p>
    <w:p w14:paraId="636C3D4A" w14:textId="77777777" w:rsidR="0015033F" w:rsidRDefault="00834871">
      <w:pPr>
        <w:pStyle w:val="Textbody"/>
        <w:rPr>
          <w:b/>
          <w:bCs/>
          <w:color w:val="000000"/>
        </w:rPr>
      </w:pPr>
      <w:r>
        <w:rPr>
          <w:b/>
          <w:bCs/>
          <w:color w:val="000000"/>
        </w:rPr>
        <w:t>Newspapers</w:t>
      </w:r>
    </w:p>
    <w:p w14:paraId="4A783572" w14:textId="77777777" w:rsidR="0015033F" w:rsidRDefault="00834871">
      <w:pPr>
        <w:pStyle w:val="Textbody"/>
        <w:rPr>
          <w:b/>
          <w:bCs/>
          <w:color w:val="000000"/>
        </w:rPr>
      </w:pPr>
      <w:r>
        <w:rPr>
          <w:color w:val="000000"/>
        </w:rPr>
        <w:lastRenderedPageBreak/>
        <w:t>A newspaper is a periodical  publication containing information about current events and is often typed in black ink with a white or gray background.</w:t>
      </w:r>
    </w:p>
    <w:p w14:paraId="00A73008" w14:textId="77777777" w:rsidR="0015033F" w:rsidRDefault="00834871">
      <w:pPr>
        <w:pStyle w:val="Textbody"/>
      </w:pPr>
      <w:r>
        <w:rPr>
          <w:color w:val="000000"/>
        </w:rPr>
        <w:t>Newspapers can cover a wide variety of fields such as politics, business, sports and art, and often include materials such as opinion columns, weather forecasts, reviews of local services, </w:t>
      </w:r>
      <w:hyperlink r:id="rId23" w:history="1">
        <w:r>
          <w:rPr>
            <w:color w:val="000000"/>
          </w:rPr>
          <w:t>obituaries</w:t>
        </w:r>
      </w:hyperlink>
      <w:r>
        <w:rPr>
          <w:color w:val="000000"/>
        </w:rPr>
        <w:t>, birth notices, </w:t>
      </w:r>
      <w:hyperlink r:id="rId24" w:history="1">
        <w:r>
          <w:rPr>
            <w:color w:val="000000"/>
          </w:rPr>
          <w:t>crosswords</w:t>
        </w:r>
      </w:hyperlink>
      <w:r>
        <w:rPr>
          <w:color w:val="000000"/>
        </w:rPr>
        <w:t>, </w:t>
      </w:r>
      <w:hyperlink r:id="rId25" w:history="1">
        <w:r>
          <w:rPr>
            <w:color w:val="000000"/>
          </w:rPr>
          <w:t>editorial cartoons</w:t>
        </w:r>
      </w:hyperlink>
      <w:r>
        <w:rPr>
          <w:color w:val="000000"/>
        </w:rPr>
        <w:t>, </w:t>
      </w:r>
      <w:hyperlink r:id="rId26" w:history="1">
        <w:r>
          <w:rPr>
            <w:color w:val="000000"/>
          </w:rPr>
          <w:t>comic strips</w:t>
        </w:r>
      </w:hyperlink>
      <w:r>
        <w:rPr>
          <w:color w:val="000000"/>
        </w:rPr>
        <w:t>, and </w:t>
      </w:r>
      <w:hyperlink r:id="rId27" w:history="1">
        <w:r>
          <w:rPr>
            <w:color w:val="000000"/>
          </w:rPr>
          <w:t>advice</w:t>
        </w:r>
      </w:hyperlink>
      <w:r>
        <w:rPr>
          <w:color w:val="000000"/>
        </w:rPr>
        <w:t> columns.</w:t>
      </w:r>
    </w:p>
    <w:p w14:paraId="28EA5FAD" w14:textId="77777777" w:rsidR="0015033F" w:rsidRDefault="00834871">
      <w:pPr>
        <w:pStyle w:val="Textbody"/>
      </w:pPr>
      <w:r>
        <w:rPr>
          <w:color w:val="000000"/>
        </w:rPr>
        <w:t>Most newspapers are businesses, and they pay their expenses with a mixture of </w:t>
      </w:r>
      <w:hyperlink r:id="rId28" w:history="1">
        <w:r>
          <w:rPr>
            <w:color w:val="000000"/>
          </w:rPr>
          <w:t>subscription</w:t>
        </w:r>
      </w:hyperlink>
      <w:r>
        <w:rPr>
          <w:color w:val="000000"/>
        </w:rPr>
        <w:t> revenue, </w:t>
      </w:r>
      <w:hyperlink r:id="rId29" w:history="1">
        <w:r>
          <w:rPr>
            <w:color w:val="000000"/>
          </w:rPr>
          <w:t>newsstand sales</w:t>
        </w:r>
      </w:hyperlink>
      <w:r>
        <w:rPr>
          <w:color w:val="000000"/>
        </w:rPr>
        <w:t>, and </w:t>
      </w:r>
      <w:hyperlink r:id="rId30" w:history="1">
        <w:r>
          <w:rPr>
            <w:color w:val="000000"/>
          </w:rPr>
          <w:t>advertising</w:t>
        </w:r>
      </w:hyperlink>
      <w:r>
        <w:rPr>
          <w:color w:val="000000"/>
        </w:rPr>
        <w:t> revenue. The </w:t>
      </w:r>
      <w:hyperlink r:id="rId31" w:history="1">
        <w:r>
          <w:rPr>
            <w:color w:val="000000"/>
          </w:rPr>
          <w:t>journalism</w:t>
        </w:r>
      </w:hyperlink>
      <w:r>
        <w:rPr>
          <w:color w:val="000000"/>
        </w:rPr>
        <w:t> organizations that publish newspapers are themselves often </w:t>
      </w:r>
      <w:hyperlink r:id="rId32" w:history="1">
        <w:r>
          <w:rPr>
            <w:color w:val="000000"/>
          </w:rPr>
          <w:t>metonymically</w:t>
        </w:r>
      </w:hyperlink>
      <w:r>
        <w:rPr>
          <w:color w:val="000000"/>
        </w:rPr>
        <w:t> called newspapers.</w:t>
      </w:r>
    </w:p>
    <w:p w14:paraId="42652F3D" w14:textId="77777777" w:rsidR="0015033F" w:rsidRDefault="00834871">
      <w:pPr>
        <w:pStyle w:val="Textbody"/>
      </w:pPr>
      <w:r>
        <w:rPr>
          <w:color w:val="000000"/>
        </w:rPr>
        <w:t>Newspapers have traditionally been published </w:t>
      </w:r>
      <w:hyperlink r:id="rId33" w:history="1">
        <w:r>
          <w:rPr>
            <w:color w:val="000000"/>
          </w:rPr>
          <w:t>in print</w:t>
        </w:r>
      </w:hyperlink>
      <w:r>
        <w:rPr>
          <w:color w:val="000000"/>
        </w:rPr>
        <w:t> (usually on cheap, low-grade </w:t>
      </w:r>
      <w:hyperlink r:id="rId34" w:history="1">
        <w:r>
          <w:rPr>
            <w:color w:val="000000"/>
          </w:rPr>
          <w:t>paper</w:t>
        </w:r>
      </w:hyperlink>
      <w:r>
        <w:rPr>
          <w:color w:val="000000"/>
        </w:rPr>
        <w:t> called </w:t>
      </w:r>
      <w:hyperlink r:id="rId35" w:history="1">
        <w:r>
          <w:rPr>
            <w:color w:val="000000"/>
          </w:rPr>
          <w:t>newsprint</w:t>
        </w:r>
      </w:hyperlink>
      <w:r>
        <w:rPr>
          <w:color w:val="000000"/>
        </w:rPr>
        <w:t>). However, today most newspapers are also </w:t>
      </w:r>
      <w:hyperlink r:id="rId36" w:history="1">
        <w:r>
          <w:rPr>
            <w:color w:val="000000"/>
          </w:rPr>
          <w:t>published</w:t>
        </w:r>
      </w:hyperlink>
      <w:r>
        <w:rPr>
          <w:color w:val="000000"/>
        </w:rPr>
        <w:t> on </w:t>
      </w:r>
      <w:hyperlink r:id="rId37" w:history="1">
        <w:r>
          <w:rPr>
            <w:color w:val="000000"/>
          </w:rPr>
          <w:t>websites</w:t>
        </w:r>
      </w:hyperlink>
      <w:r>
        <w:rPr>
          <w:color w:val="000000"/>
        </w:rPr>
        <w:t> as </w:t>
      </w:r>
      <w:hyperlink r:id="rId38" w:history="1">
        <w:r>
          <w:rPr>
            <w:color w:val="000000"/>
          </w:rPr>
          <w:t>online newspapers</w:t>
        </w:r>
      </w:hyperlink>
      <w:r>
        <w:rPr>
          <w:color w:val="000000"/>
        </w:rPr>
        <w:t>, and some have even abandoned their print versions entirely.</w:t>
      </w:r>
    </w:p>
    <w:p w14:paraId="3ED20FC3" w14:textId="77777777" w:rsidR="0015033F" w:rsidRDefault="00834871">
      <w:pPr>
        <w:pStyle w:val="Textbody"/>
      </w:pPr>
      <w:r>
        <w:rPr>
          <w:color w:val="000000"/>
        </w:rPr>
        <w:t>Newspapers developed in the 17th century, as </w:t>
      </w:r>
      <w:hyperlink r:id="rId39" w:history="1">
        <w:r>
          <w:rPr>
            <w:color w:val="000000"/>
          </w:rPr>
          <w:t>information sheets for merchants</w:t>
        </w:r>
      </w:hyperlink>
      <w:r>
        <w:rPr>
          <w:color w:val="000000"/>
        </w:rPr>
        <w:t>. By the early 19th century, many cities in Europe, as well as North and South America, published newspapers.</w:t>
      </w:r>
    </w:p>
    <w:p w14:paraId="1BB390D9" w14:textId="77777777" w:rsidR="0015033F" w:rsidRDefault="00834871">
      <w:pPr>
        <w:pStyle w:val="Textbody"/>
      </w:pPr>
      <w:r>
        <w:rPr>
          <w:color w:val="000000"/>
        </w:rPr>
        <w:t>Some newspapers with high editorial independence, high journalism quality, and large circulation are viewed as </w:t>
      </w:r>
      <w:hyperlink r:id="rId40" w:history="1">
        <w:r>
          <w:rPr>
            <w:color w:val="000000"/>
          </w:rPr>
          <w:t>newspapers of record</w:t>
        </w:r>
      </w:hyperlink>
      <w:r>
        <w:rPr>
          <w:color w:val="000000"/>
        </w:rPr>
        <w:t>.</w:t>
      </w:r>
    </w:p>
    <w:p w14:paraId="52C8829D" w14:textId="77777777" w:rsidR="00752FF0" w:rsidRDefault="00752FF0">
      <w:pPr>
        <w:rPr>
          <w:rFonts w:cs="Mangal"/>
          <w:szCs w:val="21"/>
        </w:rPr>
        <w:sectPr w:rsidR="00752FF0">
          <w:pgSz w:w="12240" w:h="15840"/>
          <w:pgMar w:top="1134" w:right="1134" w:bottom="1134" w:left="1134" w:header="720" w:footer="720" w:gutter="0"/>
          <w:cols w:space="720"/>
        </w:sectPr>
      </w:pPr>
    </w:p>
    <w:p w14:paraId="71479A32" w14:textId="77777777" w:rsidR="0015033F" w:rsidRDefault="00834871">
      <w:pPr>
        <w:pStyle w:val="Textbody"/>
        <w:rPr>
          <w:color w:val="000000"/>
        </w:rPr>
      </w:pPr>
      <w:r>
        <w:rPr>
          <w:color w:val="000000"/>
        </w:rPr>
        <w:br/>
      </w:r>
    </w:p>
    <w:p w14:paraId="62F37635" w14:textId="77777777" w:rsidR="00752FF0" w:rsidRDefault="00752FF0">
      <w:pPr>
        <w:rPr>
          <w:rFonts w:cs="Mangal"/>
          <w:szCs w:val="21"/>
        </w:rPr>
        <w:sectPr w:rsidR="00752FF0">
          <w:type w:val="continuous"/>
          <w:pgSz w:w="12240" w:h="15840"/>
          <w:pgMar w:top="1134" w:right="1134" w:bottom="1134" w:left="1134" w:header="720" w:footer="720" w:gutter="0"/>
          <w:cols w:space="0"/>
        </w:sectPr>
      </w:pPr>
    </w:p>
    <w:p w14:paraId="310ACDCF" w14:textId="77777777" w:rsidR="0015033F" w:rsidRDefault="0015033F">
      <w:pPr>
        <w:pStyle w:val="Textbody"/>
        <w:rPr>
          <w:b/>
          <w:bCs/>
          <w:color w:val="000000"/>
        </w:rPr>
      </w:pPr>
    </w:p>
    <w:p w14:paraId="06865006" w14:textId="77777777" w:rsidR="0015033F" w:rsidRDefault="00834871">
      <w:pPr>
        <w:pStyle w:val="Textbody"/>
        <w:rPr>
          <w:color w:val="000000"/>
        </w:rPr>
      </w:pPr>
      <w:r>
        <w:rPr>
          <w:color w:val="000000"/>
        </w:rPr>
        <w:br/>
      </w:r>
    </w:p>
    <w:sectPr w:rsidR="0015033F">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5DB8" w14:textId="77777777" w:rsidR="00752FF0" w:rsidRDefault="00834871">
      <w:r>
        <w:separator/>
      </w:r>
    </w:p>
  </w:endnote>
  <w:endnote w:type="continuationSeparator" w:id="0">
    <w:p w14:paraId="13DD7170" w14:textId="77777777" w:rsidR="00752FF0" w:rsidRDefault="0083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reight-text, Georgia, serif, f">
    <w:altName w:val="Calibri"/>
    <w:charset w:val="00"/>
    <w:family w:val="auto"/>
    <w:pitch w:val="default"/>
  </w:font>
  <w:font w:name="Georgia, Times, 'Times New Roma">
    <w:altName w:val="Georgia"/>
    <w:charset w:val="00"/>
    <w:family w:val="auto"/>
    <w:pitch w:val="default"/>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3075" w14:textId="77777777" w:rsidR="00752FF0" w:rsidRDefault="00834871">
      <w:r>
        <w:rPr>
          <w:color w:val="000000"/>
        </w:rPr>
        <w:separator/>
      </w:r>
    </w:p>
  </w:footnote>
  <w:footnote w:type="continuationSeparator" w:id="0">
    <w:p w14:paraId="2845DA96" w14:textId="77777777" w:rsidR="00752FF0" w:rsidRDefault="0083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3003"/>
    <w:multiLevelType w:val="multilevel"/>
    <w:tmpl w:val="4342AEC0"/>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45CD04D6"/>
    <w:multiLevelType w:val="multilevel"/>
    <w:tmpl w:val="51EC225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4451C36"/>
    <w:multiLevelType w:val="multilevel"/>
    <w:tmpl w:val="FC5841C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684F6284"/>
    <w:multiLevelType w:val="multilevel"/>
    <w:tmpl w:val="56882F36"/>
    <w:lvl w:ilvl="0">
      <w:numFmt w:val="bullet"/>
      <w:lvlText w:val=""/>
      <w:lvlJc w:val="left"/>
      <w:pPr>
        <w:ind w:left="36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3F"/>
    <w:rsid w:val="00031B1B"/>
    <w:rsid w:val="00116D6D"/>
    <w:rsid w:val="0015033F"/>
    <w:rsid w:val="001541DA"/>
    <w:rsid w:val="00684146"/>
    <w:rsid w:val="00752FF0"/>
    <w:rsid w:val="007E66DB"/>
    <w:rsid w:val="00834871"/>
    <w:rsid w:val="00C86CE1"/>
    <w:rsid w:val="00E23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B1CD"/>
  <w15:docId w15:val="{8E8243F9-F0B3-4684-8660-762FD409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unhideWhenUsed/>
    <w:qFormat/>
    <w:pPr>
      <w:spacing w:before="200"/>
      <w:outlineLvl w:val="1"/>
    </w:pPr>
    <w:rPr>
      <w:rFonts w:ascii="Times New Roman" w:eastAsia="NSimSun" w:hAnsi="Times New Roman"/>
      <w:b/>
      <w:bCs/>
      <w:sz w:val="36"/>
      <w:szCs w:val="36"/>
    </w:rPr>
  </w:style>
  <w:style w:type="paragraph" w:styleId="Heading4">
    <w:name w:val="heading 4"/>
    <w:basedOn w:val="Heading"/>
    <w:next w:val="Textbody"/>
    <w:uiPriority w:val="9"/>
    <w:unhideWhenUsed/>
    <w:qFormat/>
    <w:pPr>
      <w:spacing w:before="120"/>
      <w:outlineLvl w:val="3"/>
    </w:pPr>
    <w:rPr>
      <w:rFonts w:ascii="Times New Roman" w:eastAsia="N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StrongEmphasis">
    <w:name w:val="Strong Emphasis"/>
    <w:rPr>
      <w:b/>
      <w:bCs/>
    </w:rPr>
  </w:style>
  <w:style w:type="character" w:customStyle="1" w:styleId="NumberingSymbols">
    <w:name w:val="Numbering Symbols"/>
  </w:style>
  <w:style w:type="character" w:customStyle="1" w:styleId="Internetlink">
    <w:name w:val="Internet link"/>
    <w:rPr>
      <w:color w:val="000080"/>
      <w:u w:val="single"/>
    </w:rPr>
  </w:style>
  <w:style w:type="character" w:styleId="Emphasis">
    <w:name w:val="Emphasis"/>
    <w:rPr>
      <w:i/>
      <w:i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Textbook" TargetMode="External" /><Relationship Id="rId13" Type="http://schemas.openxmlformats.org/officeDocument/2006/relationships/hyperlink" Target="https://en.wikipedia.org/wiki/Law_review" TargetMode="External" /><Relationship Id="rId18" Type="http://schemas.openxmlformats.org/officeDocument/2006/relationships/hyperlink" Target="https://en.wikipedia.org/wiki/Case_law" TargetMode="External" /><Relationship Id="rId26" Type="http://schemas.openxmlformats.org/officeDocument/2006/relationships/hyperlink" Target="https://en.wikipedia.org/wiki/Comic_strip" TargetMode="External" /><Relationship Id="rId39" Type="http://schemas.openxmlformats.org/officeDocument/2006/relationships/hyperlink" Target="https://en.wikipedia.org/wiki/Newsletter" TargetMode="External" /><Relationship Id="rId3" Type="http://schemas.openxmlformats.org/officeDocument/2006/relationships/settings" Target="settings.xml" /><Relationship Id="rId21" Type="http://schemas.openxmlformats.org/officeDocument/2006/relationships/hyperlink" Target="https://en.wikipedia.org/wiki/William_Prosser_(academic)" TargetMode="External" /><Relationship Id="rId34" Type="http://schemas.openxmlformats.org/officeDocument/2006/relationships/hyperlink" Target="https://en.wikipedia.org/wiki/Paper" TargetMode="External" /><Relationship Id="rId42" Type="http://schemas.openxmlformats.org/officeDocument/2006/relationships/theme" Target="theme/theme1.xml" /><Relationship Id="rId7" Type="http://schemas.openxmlformats.org/officeDocument/2006/relationships/hyperlink" Target="http://learnmore.lawbore.net/essay.php?id=12&amp;page=1" TargetMode="External" /><Relationship Id="rId12" Type="http://schemas.openxmlformats.org/officeDocument/2006/relationships/hyperlink" Target="https://en.wikipedia.org/wiki/Court" TargetMode="External" /><Relationship Id="rId17" Type="http://schemas.openxmlformats.org/officeDocument/2006/relationships/hyperlink" Target="https://en.wikipedia.org/wiki/Legal_systems_of_the_world" TargetMode="External" /><Relationship Id="rId25" Type="http://schemas.openxmlformats.org/officeDocument/2006/relationships/hyperlink" Target="https://en.wikipedia.org/wiki/Editorial_cartoon" TargetMode="External" /><Relationship Id="rId33" Type="http://schemas.openxmlformats.org/officeDocument/2006/relationships/hyperlink" Target="https://en.wikipedia.org/wiki/Printing" TargetMode="External" /><Relationship Id="rId38" Type="http://schemas.openxmlformats.org/officeDocument/2006/relationships/hyperlink" Target="https://en.wikipedia.org/wiki/Online_newspaper" TargetMode="External" /><Relationship Id="rId2" Type="http://schemas.openxmlformats.org/officeDocument/2006/relationships/styles" Target="styles.xml" /><Relationship Id="rId16" Type="http://schemas.openxmlformats.org/officeDocument/2006/relationships/hyperlink" Target="https://en.wikipedia.org/wiki/Common_law" TargetMode="External" /><Relationship Id="rId20" Type="http://schemas.openxmlformats.org/officeDocument/2006/relationships/hyperlink" Target="https://en.wikipedia.org/wiki/Professors" TargetMode="External" /><Relationship Id="rId29" Type="http://schemas.openxmlformats.org/officeDocument/2006/relationships/hyperlink" Target="https://en.wikipedia.org/wiki/Newsagent%27s_shop"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wikipedia.org/wiki/Legal_case" TargetMode="External" /><Relationship Id="rId24" Type="http://schemas.openxmlformats.org/officeDocument/2006/relationships/hyperlink" Target="https://en.wikipedia.org/wiki/Crossword" TargetMode="External" /><Relationship Id="rId32" Type="http://schemas.openxmlformats.org/officeDocument/2006/relationships/hyperlink" Target="https://en.wikipedia.org/wiki/Metonymy" TargetMode="External" /><Relationship Id="rId37" Type="http://schemas.openxmlformats.org/officeDocument/2006/relationships/hyperlink" Target="https://en.wikipedia.org/wiki/Website" TargetMode="External" /><Relationship Id="rId40" Type="http://schemas.openxmlformats.org/officeDocument/2006/relationships/hyperlink" Target="https://en.wikipedia.org/wiki/Newspaper_of_record" TargetMode="External" /><Relationship Id="rId5" Type="http://schemas.openxmlformats.org/officeDocument/2006/relationships/footnotes" Target="footnotes.xml" /><Relationship Id="rId15" Type="http://schemas.openxmlformats.org/officeDocument/2006/relationships/hyperlink" Target="https://en.wikipedia.org/wiki/Casebook_method" TargetMode="External" /><Relationship Id="rId23" Type="http://schemas.openxmlformats.org/officeDocument/2006/relationships/hyperlink" Target="https://en.wikipedia.org/wiki/Obituary" TargetMode="External" /><Relationship Id="rId28" Type="http://schemas.openxmlformats.org/officeDocument/2006/relationships/hyperlink" Target="https://en.wikipedia.org/wiki/Subscription_business_model" TargetMode="External" /><Relationship Id="rId36" Type="http://schemas.openxmlformats.org/officeDocument/2006/relationships/hyperlink" Target="https://en.wikipedia.org/wiki/Electronic_publishing" TargetMode="External" /><Relationship Id="rId10" Type="http://schemas.openxmlformats.org/officeDocument/2006/relationships/hyperlink" Target="https://en.wikipedia.org/wiki/Legal_doctrine" TargetMode="External" /><Relationship Id="rId19" Type="http://schemas.openxmlformats.org/officeDocument/2006/relationships/hyperlink" Target="https://en.wikipedia.org/wiki/Source_of_law" TargetMode="External" /><Relationship Id="rId31" Type="http://schemas.openxmlformats.org/officeDocument/2006/relationships/hyperlink" Target="https://en.wikipedia.org/wiki/Journalism" TargetMode="External" /><Relationship Id="rId4" Type="http://schemas.openxmlformats.org/officeDocument/2006/relationships/webSettings" Target="webSettings.xml" /><Relationship Id="rId9" Type="http://schemas.openxmlformats.org/officeDocument/2006/relationships/hyperlink" Target="https://en.wikipedia.org/wiki/Law_school" TargetMode="External" /><Relationship Id="rId14" Type="http://schemas.openxmlformats.org/officeDocument/2006/relationships/hyperlink" Target="https://en.wikipedia.org/wiki/Legal_treatise" TargetMode="External" /><Relationship Id="rId22" Type="http://schemas.openxmlformats.org/officeDocument/2006/relationships/hyperlink" Target="https://en.wikipedia.org/wiki/Torts" TargetMode="External" /><Relationship Id="rId27" Type="http://schemas.openxmlformats.org/officeDocument/2006/relationships/hyperlink" Target="https://en.wikipedia.org/wiki/Advice_column" TargetMode="External" /><Relationship Id="rId30" Type="http://schemas.openxmlformats.org/officeDocument/2006/relationships/hyperlink" Target="https://en.wikipedia.org/wiki/Advertising" TargetMode="External" /><Relationship Id="rId35" Type="http://schemas.openxmlformats.org/officeDocument/2006/relationships/hyperlink" Target="https://en.wikipedia.org/wiki/Newspr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esoheomoregie17@gmail.com</cp:lastModifiedBy>
  <cp:revision>2</cp:revision>
  <dcterms:created xsi:type="dcterms:W3CDTF">2020-04-19T01:43:00Z</dcterms:created>
  <dcterms:modified xsi:type="dcterms:W3CDTF">2020-04-19T01:43:00Z</dcterms:modified>
</cp:coreProperties>
</file>