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ADELABU MICHAEL GBOLAHAN</w:t>
      </w:r>
    </w:p>
    <w:p>
      <w:pPr>
        <w:jc w:val="center"/>
      </w:pPr>
      <w:r>
        <w:rPr>
          <w:rFonts w:ascii="Times New Roman" w:hAnsi="Times New Roman" w:cs="Times New Roman"/>
          <w:sz w:val="32"/>
          <w:sz-cs w:val="32"/>
        </w:rPr>
        <w:t xml:space="preserve">17/ENG07/023</w:t>
      </w:r>
    </w:p>
    <w:p>
      <w:pPr>
        <w:jc w:val="center"/>
      </w:pPr>
      <w:r>
        <w:rPr>
          <w:rFonts w:ascii="Times New Roman" w:hAnsi="Times New Roman" w:cs="Times New Roman"/>
          <w:sz w:val="32"/>
          <w:sz-cs w:val="32"/>
        </w:rPr>
        <w:t xml:space="preserve">400 LEVEL</w:t>
      </w:r>
    </w:p>
    <w:p>
      <w:pPr>
        <w:jc w:val="center"/>
      </w:pPr>
      <w:r>
        <w:rPr>
          <w:rFonts w:ascii="Times New Roman" w:hAnsi="Times New Roman" w:cs="Times New Roman"/>
          <w:sz w:val="32"/>
          <w:sz-cs w:val="32"/>
        </w:rPr>
        <w:t xml:space="preserve">PETROLEUM ENGINEERING.</w:t>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SUBMITTED TO</w:t>
      </w:r>
    </w:p>
    <w:p>
      <w:pPr>
        <w:jc w:val="center"/>
      </w:pPr>
      <w:r>
        <w:rPr>
          <w:rFonts w:ascii="Times New Roman" w:hAnsi="Times New Roman" w:cs="Times New Roman"/>
          <w:sz w:val="32"/>
          <w:sz-cs w:val="32"/>
        </w:rPr>
        <w:t xml:space="preserve">ENGR. DR.OYEBODE</w:t>
      </w:r>
    </w:p>
    <w:p>
      <w:pPr>
        <w:jc w:val="center"/>
      </w:pPr>
      <w:r>
        <w:rPr>
          <w:rFonts w:ascii="Times New Roman" w:hAnsi="Times New Roman" w:cs="Times New Roman"/>
          <w:sz w:val="32"/>
          <w:sz-cs w:val="32"/>
        </w:rPr>
        <w:t xml:space="preserve">AFE BABALOLA UNIVERSITY, ADO-EKITI, EKITI STATE.</w:t>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IN PARTIAL COMPLETION OF THE CONTINUOUS ASSESSMENT (C.A) FOR THE ENGINEERING LAW AND MANAGERIAL ECONOMICS (ENG 384) COURSE.</w:t>
      </w:r>
    </w:p>
    <w:p>
      <w:pPr>
        <w:jc w:val="center"/>
        <w:ind w:left="5760"/>
      </w:pPr>
      <w:r>
        <w:rPr>
          <w:rFonts w:ascii="Times New Roman" w:hAnsi="Times New Roman" w:cs="Times New Roman"/>
          <w:sz w:val="32"/>
          <w:sz-cs w:val="32"/>
        </w:rPr>
        <w:t xml:space="preserve">April 12, 2020</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
      </w:r>
    </w:p>
    <w:p>
      <w:pPr/>
      <w:r>
        <w:rPr>
          <w:rFonts w:ascii="Times" w:hAnsi="Times" w:cs="Times"/>
          <w:sz w:val="24"/>
          <w:sz-cs w:val="24"/>
        </w:rPr>
        <w:t xml:space="preserve">                                                                          ASSIGNMENT</w:t>
      </w:r>
    </w:p>
    <w:p>
      <w:pPr>
        <w:spacing w:after="150"/>
      </w:pPr>
      <w:r>
        <w:rPr>
          <w:rFonts w:ascii="Arial" w:hAnsi="Arial" w:cs="Arial"/>
          <w:sz w:val="21"/>
          <w:sz-cs w:val="21"/>
        </w:rPr>
        <w:t xml:space="preserve">Briefly discuss the following intellectual property protection methods.</w:t>
      </w:r>
    </w:p>
    <w:p>
      <w:pPr>
        <w:spacing w:after="150"/>
      </w:pPr>
      <w:r>
        <w:rPr>
          <w:rFonts w:ascii="Arial" w:hAnsi="Arial" w:cs="Arial"/>
          <w:sz w:val="21"/>
          <w:sz-cs w:val="21"/>
        </w:rPr>
        <w:t xml:space="preserve">1 Patent</w:t>
      </w:r>
    </w:p>
    <w:p>
      <w:pPr>
        <w:spacing w:after="150"/>
      </w:pPr>
      <w:r>
        <w:rPr>
          <w:rFonts w:ascii="Arial" w:hAnsi="Arial" w:cs="Arial"/>
          <w:sz w:val="21"/>
          <w:sz-cs w:val="21"/>
        </w:rPr>
        <w:t xml:space="preserve">    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r>
        <w:rPr>
          <w:rFonts w:ascii="Arial" w:hAnsi="Arial" w:cs="Arial"/>
          <w:sz w:val="17"/>
          <w:sz-cs w:val="17"/>
          <w:vertAlign w:val="superscript"/>
        </w:rPr>
        <w:t xml:space="preserve"> </w:t>
      </w:r>
    </w:p>
    <w:p>
      <w:pPr>
        <w:spacing w:before="120" w:after="120"/>
      </w:pPr>
      <w:r>
        <w:rPr>
          <w:rFonts w:ascii="Arial" w:hAnsi="Arial" w:cs="Arial"/>
          <w:sz w:val="17"/>
          <w:sz-cs w:val="17"/>
          <w:vertAlign w:val="superscript"/>
        </w:rPr>
        <w:t xml:space="preserve">      </w:t>
      </w:r>
      <w:r>
        <w:rPr>
          <w:rFonts w:ascii="Arial" w:hAnsi="Arial" w:cs="Arial"/>
          <w:sz w:val="21"/>
          <w:sz-cs w:val="21"/>
        </w:rPr>
        <w:t xml:space="preserve">The word patent originates from the Latin patere, which means "to lay open" (i.e., to make available for public inspection). It is a shortened version of the term letters patent, which was an open document or instrument issued by a monarch or government granting exclusive rights to a person, predating the modern patent system. Similar grants included land patents, which were land grants by early state governments in the USA, and printing patents, a precursor of modern copyright.</w:t>
      </w:r>
    </w:p>
    <w:p>
      <w:pPr>
        <w:spacing w:before="120" w:after="120"/>
      </w:pPr>
      <w:r>
        <w:rPr>
          <w:rFonts w:ascii="Arial" w:hAnsi="Arial" w:cs="Arial"/>
          <w:sz w:val="21"/>
          <w:sz-cs w:val="21"/>
        </w:rPr>
        <w:t xml:space="preserve">In modern usage, the term patent usually refers to the right granted to anyone who invents something new, useful and non-obvious. Some other types of intellectual property rights are also called patents in some jurisdictions: industrial design rights are called design patents in the US, plant breeders' rights are sometimes called plant patents, and utility models and Gebrauchsmuster are sometimes called petty patents or innovation patents.</w:t>
      </w:r>
    </w:p>
    <w:p>
      <w:pPr>
        <w:spacing w:after="150"/>
      </w:pPr>
      <w:r>
        <w:rPr>
          <w:rFonts w:ascii="Arial" w:hAnsi="Arial" w:cs="Arial"/>
          <w:sz w:val="21"/>
          <w:sz-cs w:val="21"/>
        </w:rPr>
        <w:t xml:space="preserve"/>
      </w:r>
    </w:p>
    <w:p>
      <w:pPr>
        <w:spacing w:after="150"/>
      </w:pPr>
      <w:r>
        <w:rPr>
          <w:rFonts w:ascii="Arial" w:hAnsi="Arial" w:cs="Arial"/>
          <w:sz w:val="21"/>
          <w:sz-cs w:val="21"/>
        </w:rPr>
        <w:t xml:space="preserve">2 Copyright</w:t>
      </w:r>
    </w:p>
    <w:p>
      <w:pPr>
        <w:spacing w:before="120" w:after="120"/>
      </w:pPr>
      <w:r>
        <w:rPr>
          <w:rFonts w:ascii="Arial" w:hAnsi="Arial" w:cs="Arial"/>
          <w:sz w:val="21"/>
          <w:sz-cs w:val="21"/>
        </w:rPr>
        <w:t xml:space="preserve">   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pPr>
        <w:spacing w:before="120" w:after="120"/>
      </w:pPr>
      <w:r>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pPr>
        <w:spacing w:before="120" w:after="120"/>
      </w:pPr>
      <w:r>
        <w:rPr>
          <w:rFonts w:ascii="Arial" w:hAnsi="Arial" w:cs="Arial"/>
          <w:sz w:val="21"/>
          <w:sz-cs w:val="21"/>
        </w:rPr>
        <w:t xml:space="preserve">Typically, the public law duration of a copyright expires 50 to 100 years after the creator dies, depending on the jurisdiction. Some countries require certain copyright formalities to establishing copyright, others recognize copyright in any completed work, without formal registration.</w:t>
      </w:r>
    </w:p>
    <w:p>
      <w:pPr>
        <w:spacing w:after="150"/>
      </w:pPr>
      <w:r>
        <w:rPr>
          <w:rFonts w:ascii="Arial" w:hAnsi="Arial" w:cs="Arial"/>
          <w:sz w:val="21"/>
          <w:sz-cs w:val="21"/>
        </w:rPr>
        <w:t xml:space="preserve"/>
      </w:r>
    </w:p>
    <w:p>
      <w:pPr>
        <w:spacing w:after="150"/>
      </w:pPr>
      <w:r>
        <w:rPr>
          <w:rFonts w:ascii="Arial" w:hAnsi="Arial" w:cs="Arial"/>
          <w:sz w:val="21"/>
          <w:sz-cs w:val="21"/>
        </w:rPr>
        <w:t xml:space="preserve">3. Trademark</w:t>
      </w:r>
    </w:p>
    <w:p>
      <w:pPr>
        <w:spacing w:before="120" w:after="120"/>
      </w:pPr>
      <w:r>
        <w:rPr>
          <w:rFonts w:ascii="Arial" w:hAnsi="Arial" w:cs="Arial"/>
          <w:sz w:val="21"/>
          <w:sz-cs w:val="21"/>
        </w:rPr>
        <w:t xml:space="preserve">   A trademark (also written trade mark or trade-mark) is a type of intellectual property consisting of a recognizable sign, design, or expression which identifies products or services of a particular source from those of others, although trademarks used to identify services are usually called service marks.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p>
    <w:p>
      <w:pPr>
        <w:spacing w:before="120" w:after="120"/>
      </w:pPr>
      <w:r>
        <w:rPr>
          <w:rFonts w:ascii="Arial" w:hAnsi="Arial" w:cs="Arial"/>
          <w:sz w:val="21"/>
          <w:sz-cs w:val="21"/>
        </w:rPr>
        <w:t xml:space="preserve">The first legislative act concerning trademarks was passed in 1266 under the reign of Henry III, requiring all bakers to use a distinctive mark for the bread they sold. The first modern trademark laws emerged in the late 19th century. In France the first comprehensive trademark system in the world was passed into law in 1857. The Trade Marks Act 1938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pPr>
        <w:spacing w:before="120" w:after="120"/>
      </w:pPr>
      <w:r>
        <w:rPr>
          <w:rFonts w:ascii="Arial" w:hAnsi="Arial" w:cs="Arial"/>
          <w:sz w:val="21"/>
          <w:sz-cs w:val="21"/>
        </w:rPr>
        <w:t xml:space="preserve">The symbols ™ (the trademark symbol) and ® (the registered trademark symbol) can be used to indicate trademarks; the latter is only for use by the owner of a trademark that has been registered.</w:t>
      </w:r>
    </w:p>
    <w:p>
      <w:pPr>
        <w:spacing w:before="120" w:after="120"/>
      </w:pPr>
      <w:r>
        <w:rPr>
          <w:rFonts w:ascii="Arial" w:hAnsi="Arial" w:cs="Arial"/>
          <w:sz w:val="21"/>
          <w:sz-cs w:val="21"/>
        </w:rPr>
        <w:t xml:space="preserve">A trademark identifies the brand owner of a particular product or service. Trademarks can be used by others under licensing agreements; for example, Bullyland obtained a license to produce Smurf figurines; the Lego Group purchased a license from Lucasfilm in order to be allowed to launch Lego Star Wars; TT Toys Toys is a manufacturer of licensed ride-on replica cars for children. The unauthorized usage of trademarks by producing and trading counterfeit consumer goods is known as brand piracy.</w:t>
      </w:r>
    </w:p>
    <w:p>
      <w:pPr>
        <w:spacing w:before="120" w:after="120"/>
      </w:pPr>
      <w:r>
        <w:rPr>
          <w:rFonts w:ascii="Arial" w:hAnsi="Arial" w:cs="Arial"/>
          <w:sz w:val="21"/>
          <w:sz-cs w:val="21"/>
        </w:rPr>
        <w:t xml:space="preserve">The owner of a trademark may pursue legal action against trademark infringement.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pPr>
        <w:spacing w:after="150"/>
      </w:pPr>
      <w:r>
        <w:rPr>
          <w:rFonts w:ascii="Arial" w:hAnsi="Arial" w:cs="Arial"/>
          <w:sz w:val="21"/>
          <w:sz-cs w:val="21"/>
        </w:rPr>
        <w:t xml:space="preserve"/>
      </w:r>
    </w:p>
    <w:p>
      <w:pPr>
        <w:spacing w:after="150"/>
      </w:pPr>
      <w:r>
        <w:rPr>
          <w:rFonts w:ascii="Arial" w:hAnsi="Arial" w:cs="Arial"/>
          <w:sz w:val="21"/>
          <w:sz-cs w:val="21"/>
        </w:rPr>
        <w:t xml:space="preserve">4. Trade secret</w:t>
      </w:r>
    </w:p>
    <w:p>
      <w:pPr>
        <w:spacing w:after="150"/>
      </w:pPr>
      <w:r>
        <w:rPr>
          <w:rFonts w:ascii="Arial" w:hAnsi="Arial" w:cs="Arial"/>
          <w:sz w:val="21"/>
          <w:sz-cs w:val="21"/>
        </w:rPr>
        <w:t xml:space="preserve">    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pPr>
        <w:spacing w:before="120" w:after="120"/>
      </w:pPr>
      <w:r>
        <w:rPr>
          <w:rFonts w:ascii="Arial" w:hAnsi="Arial" w:cs="Arial"/>
          <w:sz w:val="21"/>
          <w:sz-cs w:val="21"/>
        </w:rPr>
        <w:t xml:space="preserve">The precise language by which a trade secret is defined varies by jurisdiction, as do the particular types of information that are subject to trade secret protection. Three factors are common to all such definitions:</w:t>
      </w:r>
    </w:p>
    <w:p>
      <w:pPr>
        <w:spacing w:before="120" w:after="120"/>
      </w:pPr>
      <w:r>
        <w:rPr>
          <w:rFonts w:ascii="Arial" w:hAnsi="Arial" w:cs="Arial"/>
          <w:sz w:val="21"/>
          <w:sz-cs w:val="21"/>
        </w:rPr>
        <w:t xml:space="preserve">A trade secret is information that</w:t>
      </w:r>
    </w:p>
    <w:p>
      <w:pPr>
        <w:ind w:left="720" w:first-line="-720"/>
        <w:spacing w:before="100" w:after="24"/>
      </w:pPr>
      <w:r>
        <w:rPr>
          <w:rFonts w:ascii="Arial" w:hAnsi="Arial" w:cs="Arial"/>
          <w:sz w:val="21"/>
          <w:sz-cs w:val="21"/>
        </w:rPr>
        <w:t xml:space="preserve"/>
        <w:tab/>
        <w:t xml:space="preserve">•</w:t>
        <w:tab/>
        <w:t xml:space="preserve">is not generally known to the public;</w:t>
      </w:r>
    </w:p>
    <w:p>
      <w:pPr>
        <w:ind w:left="720" w:first-line="-720"/>
        <w:spacing w:before="100" w:after="24"/>
      </w:pPr>
      <w:r>
        <w:rPr>
          <w:rFonts w:ascii="Arial" w:hAnsi="Arial" w:cs="Arial"/>
          <w:sz w:val="21"/>
          <w:sz-cs w:val="21"/>
        </w:rPr>
        <w:t xml:space="preserve"/>
        <w:tab/>
        <w:t xml:space="preserve">•</w:t>
        <w:tab/>
        <w:t xml:space="preserve">confers economic benefit on its holder because the information is not publicly known; and</w:t>
      </w:r>
    </w:p>
    <w:p>
      <w:pPr>
        <w:ind w:left="720" w:first-line="-720"/>
        <w:spacing w:before="100" w:after="24"/>
      </w:pPr>
      <w:r>
        <w:rPr>
          <w:rFonts w:ascii="Arial" w:hAnsi="Arial" w:cs="Arial"/>
          <w:sz w:val="21"/>
          <w:sz-cs w:val="21"/>
        </w:rPr>
        <w:t xml:space="preserve"/>
        <w:tab/>
        <w:t xml:space="preserve">•</w:t>
        <w:tab/>
        <w:t xml:space="preserve">where the holder makes reasonable efforts to maintain its secrecy.</w:t>
      </w:r>
    </w:p>
    <w:p>
      <w:pPr>
        <w:spacing w:before="120" w:after="120"/>
      </w:pPr>
      <w:r>
        <w:rPr>
          <w:rFonts w:ascii="Arial" w:hAnsi="Arial" w:cs="Arial"/>
          <w:sz w:val="21"/>
          <w:sz-cs w:val="21"/>
        </w:rPr>
        <w:t xml:space="preserve">In international law, these three factors define a trade secret under article 39 of the Agreement on Trade-Related Aspects of Intellectual Property Rights, commonly referred to as the TRIPS Agreement. </w:t>
      </w:r>
    </w:p>
    <w:p>
      <w:pPr>
        <w:spacing w:before="120" w:after="120"/>
      </w:pPr>
      <w:r>
        <w:rPr>
          <w:rFonts w:ascii="Arial" w:hAnsi="Arial" w:cs="Arial"/>
          <w:sz w:val="21"/>
          <w:sz-cs w:val="21"/>
        </w:rPr>
        <w:t xml:space="preserve">Similarly, in the United States Economic Espionage Act of 1996, "A trade secret, as defined under 18 U.S.C. § 1839(3)(A),(B) (1996), has three parts: (1) information; (2) reasonable measures taken to protect the information; and (3) which derives independent economic value from not being publicly known."</w:t>
      </w:r>
      <w:r>
        <w:rPr>
          <w:rFonts w:ascii="Arial" w:hAnsi="Arial" w:cs="Arial"/>
          <w:sz w:val="17"/>
          <w:sz-cs w:val="17"/>
          <w:vertAlign w:val="superscript"/>
        </w:rPr>
        <w:t xml:space="preserve"> </w:t>
      </w:r>
    </w:p>
    <w:p>
      <w:pPr>
        <w:spacing w:before="120" w:after="120"/>
      </w:pPr>
      <w:r>
        <w:rPr>
          <w:rFonts w:ascii="Arial" w:hAnsi="Arial" w:cs="Arial"/>
          <w:sz w:val="21"/>
          <w:sz-cs w:val="21"/>
        </w:rPr>
        <w:t xml:space="preserve">Trade secrets are an important, but invisible component of a company's intellectual property (IP). Their contribution to a company's value, measured as its market capitalization, can be major. Being invisible, that contribution is hard to measure. Patents are a visible contribution, but delayed, and unsuitable for internal innovations. Having an internal scoreboard provides insight into the cost of risks of employees leaving to serve or start competing ventures.</w:t>
      </w:r>
    </w:p>
    <w:p>
      <w:pPr/>
      <w:r>
        <w:rPr>
          <w:rFonts w:ascii="Arial" w:hAnsi="Arial" w:cs="Arial"/>
          <w:sz w:val="21"/>
          <w:sz-cs w:val="21"/>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coreProperties>
</file>

<file path=docProps/meta.xml><?xml version="1.0" encoding="utf-8"?>
<meta xmlns="http://schemas.apple.com/cocoa/2006/metadata">
  <generator>CocoaOOXMLWriter/1894.3</generator>
</meta>
</file>