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35" w:rsidRPr="00D80FB9" w:rsidRDefault="00392035" w:rsidP="003920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NAME: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ADEBIYI ITUNUNOLUWA ISAAC</w:t>
      </w:r>
    </w:p>
    <w:p w:rsidR="00392035" w:rsidRPr="00D80FB9" w:rsidRDefault="00392035" w:rsidP="003920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MATRIC NO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: 18/MHS01/013</w:t>
      </w:r>
    </w:p>
    <w:p w:rsidR="00392035" w:rsidRPr="00D80FB9" w:rsidRDefault="00392035" w:rsidP="003920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DEPARTMENT: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ANATOMY</w:t>
      </w:r>
    </w:p>
    <w:p w:rsidR="00431EB3" w:rsidRPr="00D80FB9" w:rsidRDefault="00392035" w:rsidP="0039203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COURSE: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BIO-INFORMATICS</w:t>
      </w:r>
    </w:p>
    <w:p w:rsidR="00D80FB9" w:rsidRPr="00D80FB9" w:rsidRDefault="00D80FB9" w:rsidP="00D80FB9">
      <w:pPr>
        <w:shd w:val="clear" w:color="auto" w:fill="FFFFFF"/>
        <w:tabs>
          <w:tab w:val="left" w:pos="1440"/>
        </w:tabs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92035" w:rsidRPr="00D80FB9" w:rsidRDefault="00392035" w:rsidP="00D80FB9">
      <w:pPr>
        <w:shd w:val="clear" w:color="auto" w:fill="FFFFFF"/>
        <w:tabs>
          <w:tab w:val="left" w:pos="144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80FB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1a.</w:t>
      </w:r>
      <w:r w:rsidR="00D80FB9" w:rsidRPr="00D80FB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392035" w:rsidRPr="00D80FB9" w:rsidRDefault="00392035" w:rsidP="003920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Sensitivity</w:t>
      </w:r>
    </w:p>
    <w:p w:rsidR="00392035" w:rsidRPr="00D80FB9" w:rsidRDefault="00392035" w:rsidP="003920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Selectivity</w:t>
      </w:r>
    </w:p>
    <w:p w:rsidR="00392035" w:rsidRPr="00D80FB9" w:rsidRDefault="00392035" w:rsidP="0039203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Speed</w:t>
      </w:r>
    </w:p>
    <w:p w:rsidR="00392035" w:rsidRPr="00D80FB9" w:rsidRDefault="00392035" w:rsidP="00392035">
      <w:pPr>
        <w:shd w:val="clear" w:color="auto" w:fill="FFFFFF"/>
        <w:spacing w:after="150" w:line="240" w:lineRule="auto"/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Sensitivity:</w:t>
      </w:r>
      <w:r w:rsidRPr="00D80FB9">
        <w:rPr>
          <w:rStyle w:val="NormalWeb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80FB9"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This refers to the ability to find as many correct hits as possible.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It is measured by the extent of inclusion of correctly identified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sequence members of the same family. These correct hits are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considered “true positives” in the database searching exercise.</w:t>
      </w:r>
    </w:p>
    <w:p w:rsidR="00392035" w:rsidRPr="00D80FB9" w:rsidRDefault="00392035" w:rsidP="00392035">
      <w:pPr>
        <w:shd w:val="clear" w:color="auto" w:fill="FFFFFF"/>
        <w:spacing w:after="150" w:line="240" w:lineRule="auto"/>
        <w:rPr>
          <w:rStyle w:val="fontstyle21"/>
          <w:rFonts w:ascii="Times New Roman" w:hAnsi="Times New Roman" w:cs="Times New Roman"/>
          <w:b w:val="0"/>
          <w:color w:val="000000" w:themeColor="text1"/>
          <w:sz w:val="21"/>
          <w:szCs w:val="21"/>
        </w:rPr>
      </w:pP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Selectivity:</w:t>
      </w:r>
      <w:r w:rsidRPr="00D80FB9">
        <w:rPr>
          <w:rStyle w:val="NormalWeb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80FB9"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This refers to the ability to exclude incorrect hits.</w:t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 xml:space="preserve"> These incorrect hits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are unrelated sequences mistakenly identified in database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searching and are considered “</w:t>
      </w:r>
      <w:r w:rsidRPr="00D80FB9">
        <w:rPr>
          <w:rStyle w:val="fontstyle21"/>
          <w:rFonts w:ascii="Times New Roman" w:hAnsi="Times New Roman" w:cs="Times New Roman"/>
          <w:b w:val="0"/>
          <w:color w:val="000000" w:themeColor="text1"/>
          <w:sz w:val="21"/>
          <w:szCs w:val="21"/>
        </w:rPr>
        <w:t>false positives.”</w:t>
      </w:r>
    </w:p>
    <w:p w:rsidR="00392035" w:rsidRPr="00D80FB9" w:rsidRDefault="00392035" w:rsidP="00392035">
      <w:pPr>
        <w:shd w:val="clear" w:color="auto" w:fill="FFFFFF"/>
        <w:spacing w:after="150" w:line="240" w:lineRule="auto"/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Style w:val="fontstyle21"/>
          <w:rFonts w:ascii="Times New Roman" w:hAnsi="Times New Roman" w:cs="Times New Roman"/>
          <w:b w:val="0"/>
          <w:color w:val="000000" w:themeColor="text1"/>
          <w:sz w:val="21"/>
          <w:szCs w:val="21"/>
        </w:rPr>
        <w:t xml:space="preserve">Speed: </w:t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which is the time it takes to get results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D80FB9">
        <w:rPr>
          <w:rStyle w:val="fontstyle01"/>
          <w:rFonts w:ascii="Times New Roman" w:hAnsi="Times New Roman" w:cs="Times New Roman"/>
          <w:color w:val="000000" w:themeColor="text1"/>
          <w:sz w:val="21"/>
          <w:szCs w:val="21"/>
        </w:rPr>
        <w:t>from database searches</w:t>
      </w:r>
    </w:p>
    <w:p w:rsidR="00392035" w:rsidRPr="00D80FB9" w:rsidRDefault="00AF6B29" w:rsidP="0039203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1b.</w:t>
      </w:r>
    </w:p>
    <w:p w:rsidR="00AF6B29" w:rsidRPr="00D80FB9" w:rsidRDefault="00AF6B29" w:rsidP="0039203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BLAST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(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basic local alignment search tool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)</w:t>
      </w:r>
      <w:hyperlink r:id="rId6" w:anchor="cite_note-KarlinObit.NYT-2" w:history="1">
        <w:r w:rsidRPr="00D80FB9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  <w:vertAlign w:val="superscript"/>
          </w:rPr>
          <w:t>[2]</w:t>
        </w:r>
      </w:hyperlink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is an 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algorithm</w:t>
      </w:r>
      <w:r w:rsidR="00D85A10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 and program for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comparing 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primary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biological sequence information, such as the 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amino-acid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sequences of </w:t>
      </w:r>
      <w:hyperlink r:id="rId7" w:tooltip="Protein" w:history="1">
        <w:r w:rsidRPr="00D80FB9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</w:rPr>
          <w:t>proteins</w:t>
        </w:r>
      </w:hyperlink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or the </w:t>
      </w:r>
      <w:hyperlink r:id="rId8" w:tooltip="Nucleotide" w:history="1">
        <w:r w:rsidRPr="00D80FB9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</w:rPr>
          <w:t>nucleotides</w:t>
        </w:r>
      </w:hyperlink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of </w:t>
      </w:r>
      <w:hyperlink r:id="rId9" w:tooltip="DNA sequence" w:history="1">
        <w:r w:rsidRPr="00D80FB9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</w:rPr>
          <w:t>DNA</w:t>
        </w:r>
      </w:hyperlink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and/or </w:t>
      </w:r>
      <w:hyperlink r:id="rId10" w:tooltip="RNA" w:history="1">
        <w:r w:rsidRPr="00D80FB9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</w:rPr>
          <w:t>RNA</w:t>
        </w:r>
      </w:hyperlink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 sequences. </w:t>
      </w:r>
      <w:proofErr w:type="gramStart"/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A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BLAST search enables a researcher to compare a subject protein or nucleotide sequence (called a query) with a library or </w:t>
      </w:r>
      <w:hyperlink r:id="rId11" w:tooltip="Database" w:history="1">
        <w:r w:rsidRPr="00D80FB9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</w:rPr>
          <w:t>database</w:t>
        </w:r>
      </w:hyperlink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of sequences, and identify</w:t>
      </w:r>
      <w:proofErr w:type="gramEnd"/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library sequences that resemble the query sequence above a certain threshold.</w:t>
      </w:r>
    </w:p>
    <w:p w:rsidR="00AF6B29" w:rsidRPr="00D80FB9" w:rsidRDefault="00AF6B29" w:rsidP="0039203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2a.</w:t>
      </w:r>
    </w:p>
    <w:p w:rsidR="00BC2B80" w:rsidRPr="00D80FB9" w:rsidRDefault="00BC2B80" w:rsidP="0039203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The 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PAM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matrices are based on scoring all amino acid positions in related sequences, whereas the 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BLOSUM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matrices are based on substitutions and conserved positions in blocks, which represent the most-alike common regions in related sequences.</w:t>
      </w:r>
      <w:r w:rsidR="009A6F6A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9A6F6A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PAM matrices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are used to score alignments </w:t>
      </w:r>
      <w:r w:rsidR="009A6F6A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between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closely related protein sequences. </w:t>
      </w:r>
      <w:r w:rsidR="009A6F6A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BLOSUM matrices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are used to score alignments </w:t>
      </w:r>
      <w:r w:rsidR="009A6F6A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between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evolutionarily divergent protein sequences.</w:t>
      </w:r>
    </w:p>
    <w:p w:rsidR="009A6F6A" w:rsidRPr="00D80FB9" w:rsidRDefault="009A6F6A" w:rsidP="0039203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2b.</w:t>
      </w:r>
    </w:p>
    <w:p w:rsidR="009A6F6A" w:rsidRPr="00D80FB9" w:rsidRDefault="00D85A10" w:rsidP="0039203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392035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Heuristic Database Searching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which is a computational strategy to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find an empirical or near optimal solution by using rules of thumb. Essentially, </w:t>
      </w:r>
      <w:proofErr w:type="gramStart"/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this type of algorithms take</w:t>
      </w:r>
      <w:proofErr w:type="gramEnd"/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shortcuts by reducing the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search space according to some criteria. It is often used because of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the need for obtaining results within a realistic time frame without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6F6A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significantly sacrificing the accuracy of the computational output.</w:t>
      </w:r>
    </w:p>
    <w:p w:rsidR="00D80FB9" w:rsidRPr="00D80FB9" w:rsidRDefault="00D85A10" w:rsidP="00392035">
      <w:pP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3a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. </w:t>
      </w:r>
    </w:p>
    <w:p w:rsidR="004348A9" w:rsidRPr="00D80FB9" w:rsidRDefault="004348A9" w:rsidP="00392035">
      <w:pP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Sequence homology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 xml:space="preserve">: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is the biological 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homology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between DNA, RNA, or protein 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sequences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 defined in terms of shared ancestry in the evolutionary history of life.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It is the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inference or a conclusion about a common ancestral relationship drawn from 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sequence similarity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comparison when the two sequences share a high enough degree of similarity.</w:t>
      </w:r>
    </w:p>
    <w:p w:rsidR="004348A9" w:rsidRPr="00D80FB9" w:rsidRDefault="004348A9" w:rsidP="004348A9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Sequence similarity:  is a measure of an empirical relationship between sequences. Its common objective is establishing the likelihood for sequence homology </w:t>
      </w:r>
      <w:proofErr w:type="spellStart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i.e</w:t>
      </w:r>
      <w:proofErr w:type="spellEnd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chance that sequences has evolved from a common ancestor. It is </w:t>
      </w:r>
      <w:proofErr w:type="gramStart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</w:t>
      </w:r>
      <w:r w:rsidRPr="00D80FB9">
        <w:rPr>
          <w:rStyle w:val="NormalWeb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direct</w:t>
      </w:r>
      <w:proofErr w:type="gramEnd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result of observation from the sequence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>alignment.</w:t>
      </w:r>
    </w:p>
    <w:p w:rsidR="004348A9" w:rsidRPr="00D80FB9" w:rsidRDefault="004348A9" w:rsidP="004348A9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Sequence identity:  is the amount of characters which match exactly between two different sequences.</w:t>
      </w:r>
      <w:r w:rsidRPr="00D80FB9">
        <w:rPr>
          <w:rStyle w:val="NormalWeb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A similarity score is therefore aimed to approximate the evolutionary distance between a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>pair of nucleotide or protein sequences.</w:t>
      </w:r>
    </w:p>
    <w:p w:rsidR="00D80FB9" w:rsidRPr="00D80FB9" w:rsidRDefault="00D80FB9" w:rsidP="004348A9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D80FB9" w:rsidRPr="00D80FB9" w:rsidRDefault="00D80FB9" w:rsidP="004348A9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D80FB9" w:rsidRDefault="00D80FB9" w:rsidP="004348A9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0342BB" w:rsidRPr="00D80FB9" w:rsidRDefault="000342BB" w:rsidP="004348A9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0" w:name="_GoBack"/>
      <w:bookmarkEnd w:id="0"/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3b</w:t>
      </w:r>
    </w:p>
    <w:p w:rsidR="000342BB" w:rsidRPr="00D80FB9" w:rsidRDefault="000342BB" w:rsidP="00D706E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  <w:t>Dot matrix method; Dynamic programming method; word method</w:t>
      </w:r>
    </w:p>
    <w:p w:rsidR="00D706E7" w:rsidRPr="00D80FB9" w:rsidRDefault="00D706E7" w:rsidP="00D706E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Pairwise Sequence Alignment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is used to identify regions of similarity that may indicate functional, structural and/or evolutionary relationships between two biological 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sequences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(protein or nucleic acid).</w:t>
      </w:r>
    </w:p>
    <w:p w:rsidR="00D706E7" w:rsidRPr="00D80FB9" w:rsidRDefault="00F35A49" w:rsidP="00D706E7">
      <w:pPr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4a.</w:t>
      </w:r>
    </w:p>
    <w:p w:rsidR="00DC472B" w:rsidRPr="00D80FB9" w:rsidRDefault="00DC472B" w:rsidP="00D706E7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In </w:t>
      </w:r>
      <w:r w:rsidRPr="00D80FB9"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  <w:t>global alignment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,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two sequences to be aligned are assumed to be generally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>similar over their entire length. Alignment is carried out from beginning to end of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both sequences to find the best possible alignment across the entire length between the two sequences. </w:t>
      </w:r>
      <w:r w:rsidRPr="00D80FB9">
        <w:rPr>
          <w:rFonts w:ascii="Times New Roman" w:hAnsi="Times New Roman" w:cs="Times New Roman"/>
          <w:bCs/>
          <w:iCs/>
          <w:color w:val="000000" w:themeColor="text1"/>
          <w:sz w:val="21"/>
          <w:szCs w:val="21"/>
        </w:rPr>
        <w:t>Local alignment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,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on the other hand, does not assume that the two sequences in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>question have similarity over the entire length. It only finds local regions with the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>highest level of similarity between the two sequences and aligns these regions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br/>
        <w:t>without regard for the alignment of the rest of the sequence regions.</w:t>
      </w:r>
    </w:p>
    <w:p w:rsidR="00F566B2" w:rsidRPr="00D80FB9" w:rsidRDefault="00D63C75" w:rsidP="00F566B2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4b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F13ED7" w:rsidRPr="00D80FB9" w:rsidRDefault="00F566B2" w:rsidP="00F566B2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i.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 Sequence </w:t>
      </w:r>
      <w:proofErr w:type="gramStart"/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homology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inference</w:t>
      </w:r>
      <w:proofErr w:type="gramEnd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or a conclusion about a common ancestral relationship drawn from </w:t>
      </w:r>
      <w:r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sequence similarity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comparison when the two sequences share a high enough degree of </w:t>
      </w:r>
      <w:r w:rsidR="00D80FB9"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similarity. While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Sequence similarity:  is a measure of an empirical relationship between sequences. Its common objective is establishing the likelihood for sequence homology </w:t>
      </w:r>
      <w:proofErr w:type="spellStart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i.e</w:t>
      </w:r>
      <w:proofErr w:type="spellEnd"/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chance that sequences has evolved from a common ancestor. </w:t>
      </w:r>
    </w:p>
    <w:p w:rsidR="00F13ED7" w:rsidRPr="00D80FB9" w:rsidRDefault="00F566B2" w:rsidP="00F566B2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ii.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  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Sequence </w:t>
      </w:r>
      <w:r w:rsidR="00F13ED7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similarity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is the resemblance </w:t>
      </w:r>
      <w:r w:rsidR="00F13ED7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between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two </w:t>
      </w:r>
      <w:r w:rsidR="00F13ED7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sequences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in comparison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while 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   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sequence </w:t>
      </w:r>
      <w:r w:rsidR="00F13ED7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identity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 is the 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number of characters that match 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exactly </w:t>
      </w:r>
      <w:r w:rsidR="00F13ED7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between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two </w:t>
      </w:r>
      <w:r w:rsidR="00F13ED7" w:rsidRPr="00D80FB9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different sequences</w:t>
      </w:r>
      <w:r w:rsidR="00F13ED7" w:rsidRPr="00D80FB9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</w:t>
      </w:r>
    </w:p>
    <w:p w:rsidR="004348A9" w:rsidRPr="00D80FB9" w:rsidRDefault="004348A9" w:rsidP="004348A9">
      <w:pP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4348A9" w:rsidRPr="00D80FB9" w:rsidRDefault="004348A9" w:rsidP="0039203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4348A9" w:rsidRPr="00D80FB9" w:rsidSect="006C0998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88"/>
    <w:multiLevelType w:val="multilevel"/>
    <w:tmpl w:val="F5428C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BA2CAB"/>
    <w:multiLevelType w:val="hybridMultilevel"/>
    <w:tmpl w:val="D55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210F"/>
    <w:multiLevelType w:val="hybridMultilevel"/>
    <w:tmpl w:val="76180930"/>
    <w:lvl w:ilvl="0" w:tplc="A5263A3C">
      <w:start w:val="1"/>
      <w:numFmt w:val="lowerRoman"/>
      <w:lvlText w:val="%1."/>
      <w:lvlJc w:val="left"/>
      <w:pPr>
        <w:ind w:left="1005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31023DD"/>
    <w:multiLevelType w:val="hybridMultilevel"/>
    <w:tmpl w:val="62F835AC"/>
    <w:lvl w:ilvl="0" w:tplc="5D12E3A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3205"/>
    <w:multiLevelType w:val="hybridMultilevel"/>
    <w:tmpl w:val="7E0C00B6"/>
    <w:lvl w:ilvl="0" w:tplc="4746B9AC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6BEA"/>
    <w:multiLevelType w:val="hybridMultilevel"/>
    <w:tmpl w:val="E05CD4D0"/>
    <w:lvl w:ilvl="0" w:tplc="8B84E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5AB"/>
    <w:multiLevelType w:val="hybridMultilevel"/>
    <w:tmpl w:val="9FFAC9C0"/>
    <w:lvl w:ilvl="0" w:tplc="545A5AA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41E2E"/>
    <w:multiLevelType w:val="hybridMultilevel"/>
    <w:tmpl w:val="ABF66D34"/>
    <w:lvl w:ilvl="0" w:tplc="13A03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35"/>
    <w:rsid w:val="000342BB"/>
    <w:rsid w:val="00392035"/>
    <w:rsid w:val="00431EB3"/>
    <w:rsid w:val="004348A9"/>
    <w:rsid w:val="006C0998"/>
    <w:rsid w:val="009A6F6A"/>
    <w:rsid w:val="00AF6B29"/>
    <w:rsid w:val="00BC2B80"/>
    <w:rsid w:val="00D63C75"/>
    <w:rsid w:val="00D706E7"/>
    <w:rsid w:val="00D80FB9"/>
    <w:rsid w:val="00D85A10"/>
    <w:rsid w:val="00DC472B"/>
    <w:rsid w:val="00F13ED7"/>
    <w:rsid w:val="00F35A49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92035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035"/>
    <w:pPr>
      <w:ind w:left="720"/>
      <w:contextualSpacing/>
    </w:pPr>
  </w:style>
  <w:style w:type="character" w:customStyle="1" w:styleId="fontstyle21">
    <w:name w:val="fontstyle21"/>
    <w:basedOn w:val="DefaultParagraphFont"/>
    <w:rsid w:val="00392035"/>
    <w:rPr>
      <w:rFonts w:ascii="Calibri-Bold" w:hAnsi="Calibri-Bold" w:hint="default"/>
      <w:b/>
      <w:bCs/>
      <w:i w:val="0"/>
      <w:iCs w:val="0"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6B29"/>
    <w:rPr>
      <w:color w:val="0000FF"/>
      <w:u w:val="single"/>
    </w:rPr>
  </w:style>
  <w:style w:type="character" w:customStyle="1" w:styleId="fontstyle31">
    <w:name w:val="fontstyle31"/>
    <w:basedOn w:val="DefaultParagraphFont"/>
    <w:rsid w:val="009A6F6A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41">
    <w:name w:val="fontstyle41"/>
    <w:basedOn w:val="DefaultParagraphFont"/>
    <w:rsid w:val="009A6F6A"/>
    <w:rPr>
      <w:rFonts w:ascii="ArialMT" w:hAnsi="ArialMT" w:hint="default"/>
      <w:b w:val="0"/>
      <w:bCs w:val="0"/>
      <w:i w:val="0"/>
      <w:iCs w:val="0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92035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035"/>
    <w:pPr>
      <w:ind w:left="720"/>
      <w:contextualSpacing/>
    </w:pPr>
  </w:style>
  <w:style w:type="character" w:customStyle="1" w:styleId="fontstyle21">
    <w:name w:val="fontstyle21"/>
    <w:basedOn w:val="DefaultParagraphFont"/>
    <w:rsid w:val="00392035"/>
    <w:rPr>
      <w:rFonts w:ascii="Calibri-Bold" w:hAnsi="Calibri-Bold" w:hint="default"/>
      <w:b/>
      <w:bCs/>
      <w:i w:val="0"/>
      <w:iCs w:val="0"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6B29"/>
    <w:rPr>
      <w:color w:val="0000FF"/>
      <w:u w:val="single"/>
    </w:rPr>
  </w:style>
  <w:style w:type="character" w:customStyle="1" w:styleId="fontstyle31">
    <w:name w:val="fontstyle31"/>
    <w:basedOn w:val="DefaultParagraphFont"/>
    <w:rsid w:val="009A6F6A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41">
    <w:name w:val="fontstyle41"/>
    <w:basedOn w:val="DefaultParagraphFont"/>
    <w:rsid w:val="009A6F6A"/>
    <w:rPr>
      <w:rFonts w:ascii="ArialMT" w:hAnsi="ArialMT" w:hint="default"/>
      <w:b w:val="0"/>
      <w:bCs w:val="0"/>
      <w:i w:val="0"/>
      <w:iCs w:val="0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ucleot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Prote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LAST_(biotechnology)" TargetMode="External"/><Relationship Id="rId11" Type="http://schemas.openxmlformats.org/officeDocument/2006/relationships/hyperlink" Target="https://en.wikipedia.org/wiki/Data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NA_seq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2020-04-19T12:14:00Z</dcterms:created>
  <dcterms:modified xsi:type="dcterms:W3CDTF">2020-04-19T14:59:00Z</dcterms:modified>
</cp:coreProperties>
</file>