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75" w:rsidRDefault="00755520" w:rsidP="00755520">
      <w:pPr>
        <w:jc w:val="both"/>
        <w:rPr>
          <w:rFonts w:ascii="Times New Roman" w:hAnsi="Times New Roman" w:cs="Times New Roman"/>
          <w:sz w:val="24"/>
          <w:szCs w:val="24"/>
        </w:rPr>
      </w:pPr>
      <w:r>
        <w:rPr>
          <w:rFonts w:ascii="Times New Roman" w:hAnsi="Times New Roman" w:cs="Times New Roman"/>
          <w:sz w:val="24"/>
          <w:szCs w:val="24"/>
        </w:rPr>
        <w:t xml:space="preserve">Name: Yugbovwre Esther Oghenerukevwe </w:t>
      </w:r>
    </w:p>
    <w:p w:rsidR="00755520" w:rsidRDefault="00755520" w:rsidP="00755520">
      <w:pPr>
        <w:jc w:val="both"/>
        <w:rPr>
          <w:rFonts w:ascii="Times New Roman" w:hAnsi="Times New Roman" w:cs="Times New Roman"/>
          <w:sz w:val="24"/>
          <w:szCs w:val="24"/>
        </w:rPr>
      </w:pPr>
      <w:r>
        <w:rPr>
          <w:rFonts w:ascii="Times New Roman" w:hAnsi="Times New Roman" w:cs="Times New Roman"/>
          <w:sz w:val="24"/>
          <w:szCs w:val="24"/>
        </w:rPr>
        <w:t>Matric Number: 15/Law01/204</w:t>
      </w:r>
    </w:p>
    <w:p w:rsidR="00755520" w:rsidRDefault="00755520" w:rsidP="00755520">
      <w:pPr>
        <w:jc w:val="both"/>
        <w:rPr>
          <w:rFonts w:ascii="Times New Roman" w:hAnsi="Times New Roman" w:cs="Times New Roman"/>
          <w:sz w:val="24"/>
          <w:szCs w:val="24"/>
        </w:rPr>
      </w:pPr>
      <w:r>
        <w:rPr>
          <w:rFonts w:ascii="Times New Roman" w:hAnsi="Times New Roman" w:cs="Times New Roman"/>
          <w:sz w:val="24"/>
          <w:szCs w:val="24"/>
        </w:rPr>
        <w:t xml:space="preserve">Course: Health Law </w:t>
      </w:r>
    </w:p>
    <w:p w:rsidR="00755520" w:rsidRDefault="00755520" w:rsidP="00755520">
      <w:pPr>
        <w:jc w:val="both"/>
        <w:rPr>
          <w:rFonts w:ascii="Times New Roman" w:hAnsi="Times New Roman" w:cs="Times New Roman"/>
          <w:sz w:val="24"/>
          <w:szCs w:val="24"/>
        </w:rPr>
      </w:pPr>
      <w:r>
        <w:rPr>
          <w:rFonts w:ascii="Times New Roman" w:hAnsi="Times New Roman" w:cs="Times New Roman"/>
          <w:sz w:val="24"/>
          <w:szCs w:val="24"/>
        </w:rPr>
        <w:t xml:space="preserve">Answer: </w:t>
      </w:r>
    </w:p>
    <w:p w:rsidR="00755520" w:rsidRDefault="00755520" w:rsidP="00755520">
      <w:pPr>
        <w:jc w:val="both"/>
        <w:rPr>
          <w:rFonts w:ascii="Times New Roman" w:hAnsi="Times New Roman" w:cs="Times New Roman"/>
          <w:sz w:val="24"/>
          <w:szCs w:val="24"/>
        </w:rPr>
      </w:pPr>
      <w:r>
        <w:rPr>
          <w:rFonts w:ascii="Times New Roman" w:hAnsi="Times New Roman" w:cs="Times New Roman"/>
          <w:sz w:val="24"/>
          <w:szCs w:val="24"/>
        </w:rPr>
        <w:t xml:space="preserve">Legal Issue: </w:t>
      </w:r>
    </w:p>
    <w:p w:rsidR="00755520" w:rsidRDefault="00755520" w:rsidP="00755520">
      <w:pPr>
        <w:pStyle w:val="ListParagraph"/>
        <w:numPr>
          <w:ilvl w:val="0"/>
          <w:numId w:val="1"/>
        </w:numPr>
        <w:jc w:val="both"/>
        <w:rPr>
          <w:rFonts w:ascii="Times New Roman" w:hAnsi="Times New Roman" w:cs="Times New Roman"/>
          <w:sz w:val="24"/>
          <w:szCs w:val="24"/>
        </w:rPr>
      </w:pPr>
      <w:r w:rsidRPr="00755520">
        <w:rPr>
          <w:rFonts w:ascii="Times New Roman" w:hAnsi="Times New Roman" w:cs="Times New Roman"/>
          <w:sz w:val="24"/>
          <w:szCs w:val="24"/>
        </w:rPr>
        <w:t>Whether it is possible for Charity to have a lawful abortion in accordance to the penal laws of Nigeria (Criminal Code Act) i.e. what are the grounds for a lawful termination of pregnancy?</w:t>
      </w:r>
    </w:p>
    <w:p w:rsidR="00755520" w:rsidRDefault="00755520" w:rsidP="0075552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Whether the potential father has any legal rights in the decision of Mrs Charity?</w:t>
      </w:r>
    </w:p>
    <w:p w:rsidR="00755520" w:rsidRDefault="00755520" w:rsidP="00755520">
      <w:pPr>
        <w:pStyle w:val="ListParagraph"/>
        <w:jc w:val="both"/>
        <w:rPr>
          <w:rFonts w:ascii="Times New Roman" w:hAnsi="Times New Roman" w:cs="Times New Roman"/>
          <w:sz w:val="24"/>
          <w:szCs w:val="24"/>
        </w:rPr>
      </w:pPr>
    </w:p>
    <w:p w:rsidR="00755520" w:rsidRDefault="00236576" w:rsidP="0075552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Abortion is an artificial induced termination of pregnancy with the intention (either express or implied) of bringing about the death of the foetus. Usually, this intention is achieved. </w:t>
      </w:r>
      <w:r w:rsidR="00755520">
        <w:rPr>
          <w:rFonts w:ascii="Times New Roman" w:hAnsi="Times New Roman" w:cs="Times New Roman"/>
          <w:sz w:val="24"/>
          <w:szCs w:val="24"/>
        </w:rPr>
        <w:t>Abortion in Nigeria is illegal and carries a heavy jail sentence of up to 14 years’ imprisonment unless it is performed to save the life of the pregnant woman. Nevertheless, a large number of clandestine abortions continue to be carried out regularly, often with dire consequences for the lives and health of the women involved. In Nigeria, the practice of abortion is governed by the Criminal Code which applies to the Southern States and the Penal Code, which applies to the Northern States.</w:t>
      </w:r>
      <w:r>
        <w:rPr>
          <w:rStyle w:val="FootnoteReference"/>
          <w:rFonts w:ascii="Times New Roman" w:hAnsi="Times New Roman" w:cs="Times New Roman"/>
          <w:sz w:val="24"/>
          <w:szCs w:val="24"/>
        </w:rPr>
        <w:footnoteReference w:id="1"/>
      </w:r>
      <w:r w:rsidR="00755520">
        <w:rPr>
          <w:rFonts w:ascii="Times New Roman" w:hAnsi="Times New Roman" w:cs="Times New Roman"/>
          <w:sz w:val="24"/>
          <w:szCs w:val="24"/>
        </w:rPr>
        <w:t xml:space="preserve"> </w:t>
      </w:r>
    </w:p>
    <w:p w:rsidR="00755520" w:rsidRDefault="00755520" w:rsidP="00755520">
      <w:pPr>
        <w:pStyle w:val="ListParagraph"/>
        <w:jc w:val="both"/>
        <w:rPr>
          <w:rFonts w:ascii="Times New Roman" w:hAnsi="Times New Roman" w:cs="Times New Roman"/>
          <w:sz w:val="24"/>
          <w:szCs w:val="24"/>
        </w:rPr>
      </w:pPr>
    </w:p>
    <w:p w:rsidR="00755520" w:rsidRDefault="00755520" w:rsidP="0075552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Section 228 and 229 of the Criminal Code provide that; </w:t>
      </w:r>
    </w:p>
    <w:p w:rsidR="00755520" w:rsidRDefault="00755520" w:rsidP="0075552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Any person who, with intent to procure the miscarriage of a woman, whether she is or is not with child, unlawfully administers to her or causes her to take any poison or other noxious thing, or uses force of any kind, or uses any other means whatever is guilty of a felony and is </w:t>
      </w:r>
      <w:r w:rsidR="00236576">
        <w:rPr>
          <w:rFonts w:ascii="Times New Roman" w:hAnsi="Times New Roman" w:cs="Times New Roman"/>
          <w:sz w:val="24"/>
          <w:szCs w:val="24"/>
        </w:rPr>
        <w:t>liable</w:t>
      </w:r>
      <w:r>
        <w:rPr>
          <w:rFonts w:ascii="Times New Roman" w:hAnsi="Times New Roman" w:cs="Times New Roman"/>
          <w:sz w:val="24"/>
          <w:szCs w:val="24"/>
        </w:rPr>
        <w:t xml:space="preserve"> to imprisonment for fourteen years. </w:t>
      </w:r>
    </w:p>
    <w:p w:rsidR="00236576" w:rsidRDefault="00236576" w:rsidP="00755520">
      <w:pPr>
        <w:pStyle w:val="ListParagraph"/>
        <w:jc w:val="both"/>
        <w:rPr>
          <w:rFonts w:ascii="Times New Roman" w:hAnsi="Times New Roman" w:cs="Times New Roman"/>
          <w:sz w:val="24"/>
          <w:szCs w:val="24"/>
        </w:rPr>
      </w:pPr>
    </w:p>
    <w:p w:rsidR="00236576" w:rsidRDefault="00236576" w:rsidP="0075552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Any woman who with intent to procure own miscarriage, whether she is or is not with child, unlawfully administers to herself any poison or other noxious thing, or uses force of any kind or uses any other means whatever, or permits any such thing or means to be administered or used to her is guilty of a felony and is liable to imprisonment for seven years. </w:t>
      </w:r>
    </w:p>
    <w:p w:rsidR="00755520" w:rsidRDefault="00755520" w:rsidP="00755520">
      <w:pPr>
        <w:pStyle w:val="ListParagraph"/>
        <w:jc w:val="both"/>
        <w:rPr>
          <w:rFonts w:ascii="Times New Roman" w:hAnsi="Times New Roman" w:cs="Times New Roman"/>
          <w:sz w:val="24"/>
          <w:szCs w:val="24"/>
        </w:rPr>
      </w:pPr>
    </w:p>
    <w:p w:rsidR="00236576" w:rsidRPr="00F41570" w:rsidRDefault="00236576" w:rsidP="009C38FC">
      <w:pPr>
        <w:pStyle w:val="ListParagraph"/>
        <w:numPr>
          <w:ilvl w:val="0"/>
          <w:numId w:val="4"/>
        </w:numPr>
        <w:jc w:val="both"/>
        <w:rPr>
          <w:rFonts w:ascii="Times New Roman" w:hAnsi="Times New Roman" w:cs="Times New Roman"/>
          <w:b/>
          <w:sz w:val="24"/>
          <w:szCs w:val="24"/>
        </w:rPr>
      </w:pPr>
      <w:r w:rsidRPr="00236576">
        <w:rPr>
          <w:rFonts w:ascii="Times New Roman" w:hAnsi="Times New Roman" w:cs="Times New Roman"/>
          <w:b/>
          <w:sz w:val="24"/>
          <w:szCs w:val="24"/>
        </w:rPr>
        <w:t>Abortion is generally illegal in Nigeria, however; there is no general rule without an exception in law. There are</w:t>
      </w:r>
      <w:r w:rsidR="00F41570">
        <w:rPr>
          <w:rFonts w:ascii="Times New Roman" w:hAnsi="Times New Roman" w:cs="Times New Roman"/>
          <w:b/>
          <w:sz w:val="24"/>
          <w:szCs w:val="24"/>
        </w:rPr>
        <w:t xml:space="preserve"> limited</w:t>
      </w:r>
      <w:r w:rsidRPr="00236576">
        <w:rPr>
          <w:rFonts w:ascii="Times New Roman" w:hAnsi="Times New Roman" w:cs="Times New Roman"/>
          <w:b/>
          <w:sz w:val="24"/>
          <w:szCs w:val="24"/>
        </w:rPr>
        <w:t xml:space="preserve"> grounds provided in</w:t>
      </w:r>
      <w:r w:rsidR="00F41570">
        <w:rPr>
          <w:rFonts w:ascii="Times New Roman" w:hAnsi="Times New Roman" w:cs="Times New Roman"/>
          <w:b/>
          <w:sz w:val="24"/>
          <w:szCs w:val="24"/>
        </w:rPr>
        <w:t xml:space="preserve"> the criminal code upon which </w:t>
      </w:r>
      <w:r w:rsidRPr="00F41570">
        <w:rPr>
          <w:rFonts w:ascii="Times New Roman" w:hAnsi="Times New Roman" w:cs="Times New Roman"/>
          <w:b/>
          <w:sz w:val="24"/>
          <w:szCs w:val="24"/>
        </w:rPr>
        <w:t>abortion maybe carried out lawfully they include;</w:t>
      </w:r>
    </w:p>
    <w:p w:rsidR="00755520" w:rsidRDefault="00F41570" w:rsidP="00F415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Where the continued pregnancy would endanger the life of the woman </w:t>
      </w:r>
      <w:r w:rsidR="00F216A5">
        <w:rPr>
          <w:rFonts w:ascii="Times New Roman" w:hAnsi="Times New Roman" w:cs="Times New Roman"/>
          <w:sz w:val="24"/>
          <w:szCs w:val="24"/>
        </w:rPr>
        <w:t>as provided in Section 297 of the Criminal Code</w:t>
      </w:r>
    </w:p>
    <w:p w:rsidR="00F216A5" w:rsidRPr="000C1FCE" w:rsidRDefault="00F216A5" w:rsidP="00F216A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w:t>
      </w:r>
      <w:r w:rsidRPr="00F216A5">
        <w:rPr>
          <w:rFonts w:ascii="Times New Roman" w:hAnsi="Times New Roman" w:cs="Times New Roman"/>
          <w:i/>
          <w:sz w:val="24"/>
          <w:szCs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r w:rsidR="000C1FCE">
        <w:rPr>
          <w:rFonts w:ascii="Times New Roman" w:hAnsi="Times New Roman" w:cs="Times New Roman"/>
          <w:sz w:val="24"/>
          <w:szCs w:val="24"/>
        </w:rPr>
        <w:t xml:space="preserve"> This shows that abortion is only legal when performed to save a woman’s life. The preservation of the mother’s life takes precedence over the unborn child. </w:t>
      </w:r>
      <w:bookmarkStart w:id="0" w:name="_GoBack"/>
      <w:bookmarkEnd w:id="0"/>
    </w:p>
    <w:p w:rsidR="00F41570" w:rsidRDefault="00F41570" w:rsidP="00F415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Where the child when born would be seriously handicapped. </w:t>
      </w:r>
    </w:p>
    <w:p w:rsidR="00F41570" w:rsidRDefault="00F41570" w:rsidP="00F415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Where the pregnancy</w:t>
      </w:r>
      <w:r w:rsidR="0011432E">
        <w:rPr>
          <w:rFonts w:ascii="Times New Roman" w:hAnsi="Times New Roman" w:cs="Times New Roman"/>
          <w:sz w:val="24"/>
          <w:szCs w:val="24"/>
        </w:rPr>
        <w:t xml:space="preserve"> </w:t>
      </w:r>
      <w:r>
        <w:rPr>
          <w:rFonts w:ascii="Times New Roman" w:hAnsi="Times New Roman" w:cs="Times New Roman"/>
          <w:sz w:val="24"/>
          <w:szCs w:val="24"/>
        </w:rPr>
        <w:t>is a result of rape or incest</w:t>
      </w:r>
    </w:p>
    <w:p w:rsidR="00F41570" w:rsidRDefault="00F41570" w:rsidP="00F415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When a pregnancy is terminated by a registered medical practitioner </w:t>
      </w:r>
    </w:p>
    <w:p w:rsidR="00F41570" w:rsidRDefault="00F41570" w:rsidP="00F415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When two registered medical practitioners are of the opinion formed in good faith: </w:t>
      </w:r>
    </w:p>
    <w:p w:rsidR="00F41570" w:rsidRDefault="00F41570" w:rsidP="00F4157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That the pregnancy has not exceeded its 20</w:t>
      </w:r>
      <w:r w:rsidRPr="00F41570">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the continuing of the pregnancy would involve risk greater than if the pregnancy were terminated. </w:t>
      </w:r>
    </w:p>
    <w:p w:rsidR="00F41570" w:rsidRDefault="00F41570" w:rsidP="00F4157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That the termination of the pregnancy is necessary to prevent grave permanent injury to the physical or mental health of the pregnant woman </w:t>
      </w:r>
    </w:p>
    <w:p w:rsidR="00F41570" w:rsidRDefault="00F41570" w:rsidP="00F4157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That the continuance of the pregnancy would involve risk to the life of the pregnant woman greater than if the pregnancy were terminated </w:t>
      </w:r>
    </w:p>
    <w:p w:rsidR="00F41570" w:rsidRDefault="00F41570" w:rsidP="00F4157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That there is a substantial risk that if the child were born it would suffer from physical or mental abnormalities as to be seriously handicapped </w:t>
      </w:r>
    </w:p>
    <w:p w:rsidR="0011432E" w:rsidRDefault="0011432E" w:rsidP="0011432E">
      <w:pPr>
        <w:pStyle w:val="ListParagraph"/>
        <w:jc w:val="both"/>
        <w:rPr>
          <w:rFonts w:ascii="Times New Roman" w:hAnsi="Times New Roman" w:cs="Times New Roman"/>
          <w:sz w:val="24"/>
          <w:szCs w:val="24"/>
        </w:rPr>
      </w:pPr>
    </w:p>
    <w:p w:rsidR="00755520" w:rsidRPr="00755520" w:rsidRDefault="00755520" w:rsidP="00755520">
      <w:pPr>
        <w:pStyle w:val="ListParagraph"/>
        <w:jc w:val="both"/>
        <w:rPr>
          <w:rFonts w:ascii="Times New Roman" w:hAnsi="Times New Roman" w:cs="Times New Roman"/>
          <w:sz w:val="24"/>
          <w:szCs w:val="24"/>
        </w:rPr>
      </w:pPr>
    </w:p>
    <w:p w:rsidR="009E6692" w:rsidRDefault="009C38FC" w:rsidP="009C38F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Generally, every adult person of competent mind has the right to make decisions regarding their </w:t>
      </w:r>
      <w:r w:rsidR="00D27712">
        <w:rPr>
          <w:rFonts w:ascii="Times New Roman" w:hAnsi="Times New Roman" w:cs="Times New Roman"/>
          <w:sz w:val="24"/>
          <w:szCs w:val="24"/>
        </w:rPr>
        <w:t>bodies without external undue influence,</w:t>
      </w:r>
      <w:r>
        <w:rPr>
          <w:rFonts w:ascii="Times New Roman" w:hAnsi="Times New Roman" w:cs="Times New Roman"/>
          <w:sz w:val="24"/>
          <w:szCs w:val="24"/>
        </w:rPr>
        <w:t xml:space="preserve"> that is the right of autonomy. </w:t>
      </w:r>
    </w:p>
    <w:p w:rsidR="009E6692" w:rsidRPr="009E6692" w:rsidRDefault="009E6692" w:rsidP="009E669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One of the aims of Health law which is well known is to preserve the patient’s rights to make informed decisions about their treatment options in line with their preferences and values without interference or hindrance of any form. This right can be said to also form part of the reproductive right as a person has a choice to decide whether or not to have children. </w:t>
      </w:r>
      <w:r w:rsidR="00F216A5">
        <w:rPr>
          <w:rStyle w:val="FootnoteReference"/>
          <w:rFonts w:ascii="Times New Roman" w:hAnsi="Times New Roman" w:cs="Times New Roman"/>
          <w:sz w:val="24"/>
          <w:szCs w:val="24"/>
        </w:rPr>
        <w:footnoteReference w:id="2"/>
      </w:r>
    </w:p>
    <w:p w:rsidR="009E6692" w:rsidRDefault="009E6692" w:rsidP="009E669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There are several arguments about whether an expectant father has the right to his unborn child when the mother decides to abort it. Proponents of this argument are of the opinion that the father’s rights ought to be protected and the equality of the man’s right to have children to that of the woman. In </w:t>
      </w:r>
      <w:r w:rsidRPr="00F216A5">
        <w:rPr>
          <w:rFonts w:ascii="Times New Roman" w:hAnsi="Times New Roman" w:cs="Times New Roman"/>
          <w:i/>
          <w:sz w:val="24"/>
          <w:szCs w:val="24"/>
        </w:rPr>
        <w:t>Paton v Trustees of the British Pregnancy Advisory Service</w:t>
      </w:r>
      <w:r w:rsidR="00F216A5">
        <w:rPr>
          <w:rFonts w:ascii="Times New Roman" w:hAnsi="Times New Roman" w:cs="Times New Roman"/>
          <w:i/>
          <w:sz w:val="24"/>
          <w:szCs w:val="24"/>
        </w:rPr>
        <w:t>,</w:t>
      </w:r>
      <w:r w:rsidR="00F216A5">
        <w:rPr>
          <w:rStyle w:val="FootnoteReference"/>
          <w:rFonts w:ascii="Times New Roman" w:hAnsi="Times New Roman" w:cs="Times New Roman"/>
          <w:i/>
          <w:sz w:val="24"/>
          <w:szCs w:val="24"/>
        </w:rPr>
        <w:footnoteReference w:id="3"/>
      </w:r>
      <w:r w:rsidRPr="00F216A5">
        <w:rPr>
          <w:rFonts w:ascii="Times New Roman" w:hAnsi="Times New Roman" w:cs="Times New Roman"/>
          <w:i/>
          <w:sz w:val="24"/>
          <w:szCs w:val="24"/>
        </w:rPr>
        <w:t xml:space="preserve"> </w:t>
      </w:r>
      <w:r>
        <w:rPr>
          <w:rFonts w:ascii="Times New Roman" w:hAnsi="Times New Roman" w:cs="Times New Roman"/>
          <w:sz w:val="24"/>
          <w:szCs w:val="24"/>
        </w:rPr>
        <w:t xml:space="preserve">a husband sought injunctive relief to restrain the defendants from terminating his estranged wife’s pregnancy. The court per Sir George Baker P held that the father had no right under the Abortion Act to be consulted in respect of the termination of the pregnancy. His argument that he sought to secure the injunction under the right to respect for his private and family life in </w:t>
      </w:r>
      <w:r w:rsidRPr="00F216A5">
        <w:rPr>
          <w:rFonts w:ascii="Times New Roman" w:hAnsi="Times New Roman" w:cs="Times New Roman"/>
          <w:i/>
          <w:sz w:val="24"/>
          <w:szCs w:val="24"/>
        </w:rPr>
        <w:t>Paton v United Kingdom</w:t>
      </w:r>
      <w:r w:rsidR="00F216A5">
        <w:rPr>
          <w:rStyle w:val="FootnoteReference"/>
          <w:rFonts w:ascii="Times New Roman" w:hAnsi="Times New Roman" w:cs="Times New Roman"/>
          <w:i/>
          <w:sz w:val="24"/>
          <w:szCs w:val="24"/>
        </w:rPr>
        <w:footnoteReference w:id="4"/>
      </w:r>
      <w:r>
        <w:rPr>
          <w:rFonts w:ascii="Times New Roman" w:hAnsi="Times New Roman" w:cs="Times New Roman"/>
          <w:sz w:val="24"/>
          <w:szCs w:val="24"/>
        </w:rPr>
        <w:t xml:space="preserve"> was dismissed and described as ‘manifestly ill-founded’. The court found that his estranged wife’s right to respect for her private and family life prevailed. Also in the </w:t>
      </w:r>
      <w:r>
        <w:rPr>
          <w:rFonts w:ascii="Times New Roman" w:hAnsi="Times New Roman" w:cs="Times New Roman"/>
          <w:sz w:val="24"/>
          <w:szCs w:val="24"/>
        </w:rPr>
        <w:lastRenderedPageBreak/>
        <w:t xml:space="preserve">prevalent case of </w:t>
      </w:r>
      <w:r w:rsidRPr="00F216A5">
        <w:rPr>
          <w:rFonts w:ascii="Times New Roman" w:hAnsi="Times New Roman" w:cs="Times New Roman"/>
          <w:i/>
          <w:sz w:val="24"/>
          <w:szCs w:val="24"/>
        </w:rPr>
        <w:t>Kelly v Kelly</w:t>
      </w:r>
      <w:r w:rsidR="00F216A5">
        <w:rPr>
          <w:rFonts w:ascii="Times New Roman" w:hAnsi="Times New Roman" w:cs="Times New Roman"/>
          <w:i/>
          <w:sz w:val="24"/>
          <w:szCs w:val="24"/>
        </w:rPr>
        <w:t>,</w:t>
      </w:r>
      <w:r w:rsidR="00F216A5">
        <w:rPr>
          <w:rStyle w:val="FootnoteReference"/>
          <w:rFonts w:ascii="Times New Roman" w:hAnsi="Times New Roman" w:cs="Times New Roman"/>
          <w:i/>
          <w:sz w:val="24"/>
          <w:szCs w:val="24"/>
        </w:rPr>
        <w:footnoteReference w:id="5"/>
      </w:r>
      <w:r>
        <w:rPr>
          <w:rFonts w:ascii="Times New Roman" w:hAnsi="Times New Roman" w:cs="Times New Roman"/>
          <w:sz w:val="24"/>
          <w:szCs w:val="24"/>
        </w:rPr>
        <w:t xml:space="preserve">a Scottish man sought an injunction to prevent his wife from having an abortion in 1997. This injunction was withdrawn by a higher court. </w:t>
      </w:r>
    </w:p>
    <w:p w:rsidR="009E6692" w:rsidRDefault="009E6692" w:rsidP="009E6692">
      <w:pPr>
        <w:pStyle w:val="ListParagraph"/>
        <w:ind w:left="1080"/>
        <w:jc w:val="both"/>
        <w:rPr>
          <w:rFonts w:ascii="Times New Roman" w:hAnsi="Times New Roman" w:cs="Times New Roman"/>
          <w:sz w:val="24"/>
          <w:szCs w:val="24"/>
        </w:rPr>
      </w:pPr>
    </w:p>
    <w:p w:rsidR="00755520" w:rsidRDefault="00F216A5" w:rsidP="009E669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Following from the decisions of the aforementioned cases, i</w:t>
      </w:r>
      <w:r w:rsidR="009C38FC">
        <w:rPr>
          <w:rFonts w:ascii="Times New Roman" w:hAnsi="Times New Roman" w:cs="Times New Roman"/>
          <w:sz w:val="24"/>
          <w:szCs w:val="24"/>
        </w:rPr>
        <w:t xml:space="preserve">f Mrs Charity’ reasons for agreeing to an abortion falls under any of the aforementioned lawful grounds, then she has every right </w:t>
      </w:r>
      <w:r w:rsidR="00D27712">
        <w:rPr>
          <w:rFonts w:ascii="Times New Roman" w:hAnsi="Times New Roman" w:cs="Times New Roman"/>
          <w:sz w:val="24"/>
          <w:szCs w:val="24"/>
        </w:rPr>
        <w:t xml:space="preserve">to have one irrespective of </w:t>
      </w:r>
      <w:r w:rsidR="009C38FC">
        <w:rPr>
          <w:rFonts w:ascii="Times New Roman" w:hAnsi="Times New Roman" w:cs="Times New Roman"/>
          <w:sz w:val="24"/>
          <w:szCs w:val="24"/>
        </w:rPr>
        <w:t xml:space="preserve">her husband’s opinion. </w:t>
      </w:r>
    </w:p>
    <w:p w:rsidR="009C38FC" w:rsidRDefault="009C38FC" w:rsidP="009C38F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father does not have any potential legal rights in the decision, being that </w:t>
      </w:r>
    </w:p>
    <w:p w:rsidR="009C38FC" w:rsidRDefault="009C38FC" w:rsidP="009C38F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is Mrs Charity’s body and she has the right to do whatever she </w:t>
      </w:r>
      <w:r w:rsidR="00D27712">
        <w:rPr>
          <w:rFonts w:ascii="Times New Roman" w:hAnsi="Times New Roman" w:cs="Times New Roman"/>
          <w:sz w:val="24"/>
          <w:szCs w:val="24"/>
        </w:rPr>
        <w:t>wants;</w:t>
      </w:r>
      <w:r>
        <w:rPr>
          <w:rFonts w:ascii="Times New Roman" w:hAnsi="Times New Roman" w:cs="Times New Roman"/>
          <w:sz w:val="24"/>
          <w:szCs w:val="24"/>
        </w:rPr>
        <w:t xml:space="preserve"> she cannot be forced to carry a baby to term when her reason for </w:t>
      </w:r>
      <w:r w:rsidR="00D27712">
        <w:rPr>
          <w:rFonts w:ascii="Times New Roman" w:hAnsi="Times New Roman" w:cs="Times New Roman"/>
          <w:sz w:val="24"/>
          <w:szCs w:val="24"/>
        </w:rPr>
        <w:t>removal</w:t>
      </w:r>
      <w:r>
        <w:rPr>
          <w:rFonts w:ascii="Times New Roman" w:hAnsi="Times New Roman" w:cs="Times New Roman"/>
          <w:sz w:val="24"/>
          <w:szCs w:val="24"/>
        </w:rPr>
        <w:t xml:space="preserve"> is lawful</w:t>
      </w:r>
    </w:p>
    <w:p w:rsidR="009C38FC" w:rsidRDefault="009C38FC" w:rsidP="009C38F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Mrs Charity has the right to </w:t>
      </w:r>
      <w:r w:rsidR="004B0BDB">
        <w:rPr>
          <w:rFonts w:ascii="Times New Roman" w:hAnsi="Times New Roman" w:cs="Times New Roman"/>
          <w:sz w:val="24"/>
          <w:szCs w:val="24"/>
        </w:rPr>
        <w:t>reproductive autonomy</w:t>
      </w:r>
      <w:r>
        <w:rPr>
          <w:rFonts w:ascii="Times New Roman" w:hAnsi="Times New Roman" w:cs="Times New Roman"/>
          <w:sz w:val="24"/>
          <w:szCs w:val="24"/>
        </w:rPr>
        <w:t xml:space="preserve"> which should be respected. </w:t>
      </w:r>
    </w:p>
    <w:p w:rsidR="00F216A5" w:rsidRPr="009C38FC" w:rsidRDefault="00F216A5" w:rsidP="00F216A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In conclusion, the father has no legal rights in the mother’s decision to terminate the pregnancy. </w:t>
      </w:r>
    </w:p>
    <w:sectPr w:rsidR="00F216A5" w:rsidRPr="009C38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2A" w:rsidRDefault="0009462A" w:rsidP="00236576">
      <w:pPr>
        <w:spacing w:after="0" w:line="240" w:lineRule="auto"/>
      </w:pPr>
      <w:r>
        <w:separator/>
      </w:r>
    </w:p>
  </w:endnote>
  <w:endnote w:type="continuationSeparator" w:id="0">
    <w:p w:rsidR="0009462A" w:rsidRDefault="0009462A" w:rsidP="002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2A" w:rsidRDefault="0009462A" w:rsidP="00236576">
      <w:pPr>
        <w:spacing w:after="0" w:line="240" w:lineRule="auto"/>
      </w:pPr>
      <w:r>
        <w:separator/>
      </w:r>
    </w:p>
  </w:footnote>
  <w:footnote w:type="continuationSeparator" w:id="0">
    <w:p w:rsidR="0009462A" w:rsidRDefault="0009462A" w:rsidP="00236576">
      <w:pPr>
        <w:spacing w:after="0" w:line="240" w:lineRule="auto"/>
      </w:pPr>
      <w:r>
        <w:continuationSeparator/>
      </w:r>
    </w:p>
  </w:footnote>
  <w:footnote w:id="1">
    <w:p w:rsidR="00236576" w:rsidRPr="00236576" w:rsidRDefault="0023657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O.Isabella, ‘Pregnancy Termination and the Law in Nigeria’ (1990) 21(4) </w:t>
      </w:r>
      <w:r w:rsidRPr="00236576">
        <w:rPr>
          <w:rFonts w:ascii="Times New Roman" w:hAnsi="Times New Roman" w:cs="Times New Roman"/>
          <w:i/>
        </w:rPr>
        <w:t>Studies in Family Planning</w:t>
      </w:r>
      <w:r>
        <w:rPr>
          <w:rFonts w:ascii="Times New Roman" w:hAnsi="Times New Roman" w:cs="Times New Roman"/>
          <w:i/>
        </w:rPr>
        <w:t xml:space="preserve"> </w:t>
      </w:r>
      <w:r>
        <w:rPr>
          <w:rFonts w:ascii="Times New Roman" w:hAnsi="Times New Roman" w:cs="Times New Roman"/>
        </w:rPr>
        <w:t>&lt;http://www.jstor.org&gt; accessed 17</w:t>
      </w:r>
      <w:r w:rsidRPr="00236576">
        <w:rPr>
          <w:rFonts w:ascii="Times New Roman" w:hAnsi="Times New Roman" w:cs="Times New Roman"/>
          <w:vertAlign w:val="superscript"/>
        </w:rPr>
        <w:t>th</w:t>
      </w:r>
      <w:r>
        <w:rPr>
          <w:rFonts w:ascii="Times New Roman" w:hAnsi="Times New Roman" w:cs="Times New Roman"/>
        </w:rPr>
        <w:t xml:space="preserve"> April, 2020. </w:t>
      </w:r>
    </w:p>
  </w:footnote>
  <w:footnote w:id="2">
    <w:p w:rsidR="00F216A5" w:rsidRPr="00F216A5" w:rsidRDefault="00F216A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‘Abortion in Nigeria’, (Guttmacher Institute, October 2015), &lt;http://www.guttmacher.org/fact-sheet/abortion-nigeria&gt; accessed 17</w:t>
      </w:r>
      <w:r w:rsidRPr="00F216A5">
        <w:rPr>
          <w:rFonts w:ascii="Times New Roman" w:hAnsi="Times New Roman" w:cs="Times New Roman"/>
          <w:vertAlign w:val="superscript"/>
          <w:lang w:val="en-US"/>
        </w:rPr>
        <w:t>th</w:t>
      </w:r>
      <w:r>
        <w:rPr>
          <w:rFonts w:ascii="Times New Roman" w:hAnsi="Times New Roman" w:cs="Times New Roman"/>
          <w:lang w:val="en-US"/>
        </w:rPr>
        <w:t xml:space="preserve"> April, 2020.</w:t>
      </w:r>
    </w:p>
  </w:footnote>
  <w:footnote w:id="3">
    <w:p w:rsidR="00F216A5" w:rsidRPr="00F216A5" w:rsidRDefault="00F216A5">
      <w:pPr>
        <w:pStyle w:val="FootnoteText"/>
        <w:rPr>
          <w:rFonts w:ascii="Times New Roman" w:hAnsi="Times New Roman" w:cs="Times New Roman"/>
          <w:lang w:val="en-US"/>
        </w:rPr>
      </w:pPr>
      <w:r>
        <w:rPr>
          <w:rStyle w:val="FootnoteReference"/>
        </w:rPr>
        <w:footnoteRef/>
      </w:r>
      <w:r>
        <w:t xml:space="preserve"> </w:t>
      </w:r>
      <w:r>
        <w:rPr>
          <w:lang w:val="en-US"/>
        </w:rPr>
        <w:t>(</w:t>
      </w:r>
      <w:r w:rsidRPr="00F216A5">
        <w:rPr>
          <w:rFonts w:ascii="Times New Roman" w:hAnsi="Times New Roman" w:cs="Times New Roman"/>
          <w:lang w:val="en-US"/>
        </w:rPr>
        <w:t>1979) QB 276</w:t>
      </w:r>
    </w:p>
  </w:footnote>
  <w:footnote w:id="4">
    <w:p w:rsidR="00F216A5" w:rsidRPr="00F216A5" w:rsidRDefault="00F216A5">
      <w:pPr>
        <w:pStyle w:val="FootnoteText"/>
        <w:rPr>
          <w:lang w:val="en-US"/>
        </w:rPr>
      </w:pPr>
      <w:r w:rsidRPr="00F216A5">
        <w:rPr>
          <w:rStyle w:val="FootnoteReference"/>
          <w:rFonts w:ascii="Times New Roman" w:hAnsi="Times New Roman" w:cs="Times New Roman"/>
        </w:rPr>
        <w:footnoteRef/>
      </w:r>
      <w:r w:rsidRPr="00F216A5">
        <w:rPr>
          <w:rFonts w:ascii="Times New Roman" w:hAnsi="Times New Roman" w:cs="Times New Roman"/>
        </w:rPr>
        <w:t xml:space="preserve"> </w:t>
      </w:r>
      <w:r w:rsidRPr="00F216A5">
        <w:rPr>
          <w:rFonts w:ascii="Times New Roman" w:hAnsi="Times New Roman" w:cs="Times New Roman"/>
          <w:lang w:val="en-US"/>
        </w:rPr>
        <w:t>(1980) 3 EHRR</w:t>
      </w:r>
      <w:r>
        <w:rPr>
          <w:lang w:val="en-US"/>
        </w:rPr>
        <w:t xml:space="preserve"> 408</w:t>
      </w:r>
    </w:p>
  </w:footnote>
  <w:footnote w:id="5">
    <w:p w:rsidR="00F216A5" w:rsidRPr="00F216A5" w:rsidRDefault="00F216A5">
      <w:pPr>
        <w:pStyle w:val="FootnoteText"/>
        <w:rPr>
          <w:lang w:val="en-US"/>
        </w:rPr>
      </w:pPr>
      <w:r>
        <w:rPr>
          <w:rStyle w:val="FootnoteReference"/>
        </w:rPr>
        <w:footnoteRef/>
      </w:r>
      <w:r>
        <w:t xml:space="preserve"> </w:t>
      </w:r>
      <w:r>
        <w:rPr>
          <w:lang w:val="en-US"/>
        </w:rPr>
        <w:t>(</w:t>
      </w:r>
      <w:r w:rsidRPr="00F216A5">
        <w:rPr>
          <w:rFonts w:ascii="Times New Roman" w:hAnsi="Times New Roman" w:cs="Times New Roman"/>
          <w:lang w:val="en-US"/>
        </w:rPr>
        <w:t>1997) ScotCS CSIH_2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163E"/>
    <w:multiLevelType w:val="hybridMultilevel"/>
    <w:tmpl w:val="CC4C3F5A"/>
    <w:lvl w:ilvl="0" w:tplc="1ECE1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E73725"/>
    <w:multiLevelType w:val="hybridMultilevel"/>
    <w:tmpl w:val="6E0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F6717"/>
    <w:multiLevelType w:val="hybridMultilevel"/>
    <w:tmpl w:val="F2E27E64"/>
    <w:lvl w:ilvl="0" w:tplc="C1DC886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D62CC0"/>
    <w:multiLevelType w:val="hybridMultilevel"/>
    <w:tmpl w:val="E286F2D8"/>
    <w:lvl w:ilvl="0" w:tplc="2AF08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20"/>
    <w:rsid w:val="00093075"/>
    <w:rsid w:val="0009462A"/>
    <w:rsid w:val="000C1FCE"/>
    <w:rsid w:val="0011432E"/>
    <w:rsid w:val="00236576"/>
    <w:rsid w:val="004B0BDB"/>
    <w:rsid w:val="00755520"/>
    <w:rsid w:val="008A57A3"/>
    <w:rsid w:val="009C38FC"/>
    <w:rsid w:val="009E6692"/>
    <w:rsid w:val="00CD3DF0"/>
    <w:rsid w:val="00D27712"/>
    <w:rsid w:val="00F216A5"/>
    <w:rsid w:val="00F4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C0A"/>
  <w15:chartTrackingRefBased/>
  <w15:docId w15:val="{11D1F3CF-497C-4238-93AA-A9607601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20"/>
    <w:pPr>
      <w:ind w:left="720"/>
      <w:contextualSpacing/>
    </w:pPr>
  </w:style>
  <w:style w:type="paragraph" w:styleId="FootnoteText">
    <w:name w:val="footnote text"/>
    <w:basedOn w:val="Normal"/>
    <w:link w:val="FootnoteTextChar"/>
    <w:uiPriority w:val="99"/>
    <w:semiHidden/>
    <w:unhideWhenUsed/>
    <w:rsid w:val="00236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576"/>
    <w:rPr>
      <w:sz w:val="20"/>
      <w:szCs w:val="20"/>
      <w:lang w:val="en-GB"/>
    </w:rPr>
  </w:style>
  <w:style w:type="character" w:styleId="FootnoteReference">
    <w:name w:val="footnote reference"/>
    <w:basedOn w:val="DefaultParagraphFont"/>
    <w:uiPriority w:val="99"/>
    <w:semiHidden/>
    <w:unhideWhenUsed/>
    <w:rsid w:val="00236576"/>
    <w:rPr>
      <w:vertAlign w:val="superscript"/>
    </w:rPr>
  </w:style>
  <w:style w:type="character" w:styleId="Hyperlink">
    <w:name w:val="Hyperlink"/>
    <w:basedOn w:val="DefaultParagraphFont"/>
    <w:uiPriority w:val="99"/>
    <w:unhideWhenUsed/>
    <w:rsid w:val="00236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02B2-DF93-4CD1-960D-8E3B6053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Yugbovwre</dc:creator>
  <cp:keywords/>
  <dc:description/>
  <cp:lastModifiedBy>Esther Yugbovwre</cp:lastModifiedBy>
  <cp:revision>4</cp:revision>
  <dcterms:created xsi:type="dcterms:W3CDTF">2020-04-19T12:48:00Z</dcterms:created>
  <dcterms:modified xsi:type="dcterms:W3CDTF">2020-04-20T15:06:00Z</dcterms:modified>
</cp:coreProperties>
</file>