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6BE94" w14:textId="7D679456" w:rsidR="00DE669C" w:rsidRPr="00DE669C" w:rsidRDefault="0095720E">
      <w:pPr>
        <w:rPr>
          <w:rFonts w:ascii="Palatino Linotype" w:hAnsi="Palatino Linotype" w:cs="Times New Roman"/>
          <w:b/>
          <w:bCs/>
          <w:sz w:val="36"/>
          <w:szCs w:val="36"/>
          <w:u w:val="single"/>
        </w:rPr>
      </w:pPr>
      <w:r>
        <w:rPr>
          <w:rFonts w:ascii="Palatino Linotype" w:hAnsi="Palatino Linotype" w:cs="Times New Roman"/>
          <w:b/>
          <w:bCs/>
          <w:sz w:val="36"/>
          <w:szCs w:val="36"/>
          <w:u w:val="single"/>
        </w:rPr>
        <w:t>IBRAHIM BALA ABDUSALAM</w:t>
      </w:r>
      <w:bookmarkStart w:id="0" w:name="_GoBack"/>
      <w:bookmarkEnd w:id="0"/>
    </w:p>
    <w:p w14:paraId="5A8D86CD" w14:textId="03D9463D" w:rsidR="00DE669C" w:rsidRPr="00DE669C" w:rsidRDefault="0095720E">
      <w:pPr>
        <w:rPr>
          <w:rFonts w:ascii="Palatino Linotype" w:hAnsi="Palatino Linotype" w:cs="Times New Roman"/>
          <w:b/>
          <w:bCs/>
          <w:sz w:val="36"/>
          <w:szCs w:val="36"/>
          <w:u w:val="single"/>
        </w:rPr>
      </w:pPr>
      <w:r>
        <w:rPr>
          <w:rFonts w:ascii="Palatino Linotype" w:hAnsi="Palatino Linotype" w:cs="Times New Roman"/>
          <w:b/>
          <w:bCs/>
          <w:sz w:val="36"/>
          <w:szCs w:val="36"/>
          <w:u w:val="single"/>
        </w:rPr>
        <w:t>(17/SCI01/038</w:t>
      </w:r>
      <w:r w:rsidR="00DE669C" w:rsidRPr="00DE669C">
        <w:rPr>
          <w:rFonts w:ascii="Palatino Linotype" w:hAnsi="Palatino Linotype" w:cs="Times New Roman"/>
          <w:b/>
          <w:bCs/>
          <w:sz w:val="36"/>
          <w:szCs w:val="36"/>
          <w:u w:val="single"/>
        </w:rPr>
        <w:t>)</w:t>
      </w:r>
    </w:p>
    <w:p w14:paraId="2AC8033A" w14:textId="39926EC9" w:rsidR="00DE669C" w:rsidRPr="00DE669C" w:rsidRDefault="00DE669C">
      <w:pPr>
        <w:rPr>
          <w:rFonts w:ascii="Palatino Linotype" w:hAnsi="Palatino Linotype" w:cs="Times New Roman"/>
          <w:b/>
          <w:bCs/>
          <w:sz w:val="36"/>
          <w:szCs w:val="36"/>
          <w:u w:val="single"/>
        </w:rPr>
      </w:pPr>
    </w:p>
    <w:p w14:paraId="5D3BE382" w14:textId="14D8A676"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w:t>
      </w:r>
      <w:r w:rsidRPr="000F736F">
        <w:rPr>
          <w:rFonts w:ascii="Cambria" w:hAnsi="Cambria"/>
          <w:sz w:val="28"/>
          <w:szCs w:val="28"/>
        </w:rPr>
        <w:lastRenderedPageBreak/>
        <w:t>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lastRenderedPageBreak/>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A1"/>
    <w:rsid w:val="000F736F"/>
    <w:rsid w:val="00203828"/>
    <w:rsid w:val="00950407"/>
    <w:rsid w:val="0095720E"/>
    <w:rsid w:val="00A72E41"/>
    <w:rsid w:val="00B60CA1"/>
    <w:rsid w:val="00DE669C"/>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Bang</dc:creator>
  <cp:lastModifiedBy>PETRA SIMON</cp:lastModifiedBy>
  <cp:revision>2</cp:revision>
  <dcterms:created xsi:type="dcterms:W3CDTF">2020-04-21T21:08:00Z</dcterms:created>
  <dcterms:modified xsi:type="dcterms:W3CDTF">2020-04-21T21:08:00Z</dcterms:modified>
</cp:coreProperties>
</file>