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Amusan Opemipo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No.:17/mhs01/061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Dept: Human Anatomy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Couse Title:General Histochemistry 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1.)In order to demonstrate the presence  of DNA/RNA in Peripheral Neurons, a suitable dye that can be used  is the </w:t>
      </w:r>
      <w:r>
        <w:rPr>
          <w:rFonts w:ascii="Calibri" w:hAnsi="Calibri" w:cs="Calibri" w:eastAsia="Calibri"/>
          <w:b/>
          <w:color w:val="auto"/>
          <w:spacing w:val="0"/>
          <w:position w:val="0"/>
          <w:sz w:val="22"/>
          <w:shd w:fill="auto" w:val="clear"/>
        </w:rPr>
        <w:t xml:space="preserve">TOLUIDINE BLUE DYE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Toluidine blue is a basic thiazine metachromatic dye with high affinity for acidic tissue components, thereby staining tissues rich in DNA and RNA. It has found wide applications both as vital staining in living tissues and as a special stain owing to its metachromatic property. Toluidine blue has been used in vivo to identify dysplasia and carcinoma of the oral cavity. Use of toluidine blue in tissue sections is done with the aim to highlight components, such as mast cells granules, mucins, and cartilage. This article provides an overview on chemistry, technique, and the various applications of toluidine blue.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Luxol Fast Blue stain can be used to detect demyelination in the Central Nervous System but not in the Peripheral Nervous System.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siutble dye to detect demyeliation in the PeripheralNervous System is CMC (3-4-aminophenyl)-2H-chromen-2-one)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