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NAME: DIKE ECHIOMA ANTHONY</w:t>
        <w:tab/>
      </w:r>
    </w:p>
    <w:p w:rsidR="00000000" w:rsidDel="00000000" w:rsidP="00000000" w:rsidRDefault="00000000" w:rsidRPr="00000000" w14:paraId="00000002">
      <w:pPr>
        <w:spacing w:after="16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MATRIC NUMBER: 16/MHS02/017</w:t>
      </w:r>
    </w:p>
    <w:p w:rsidR="00000000" w:rsidDel="00000000" w:rsidP="00000000" w:rsidRDefault="00000000" w:rsidRPr="00000000" w14:paraId="00000003">
      <w:pPr>
        <w:spacing w:after="16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auto" w:val="clear"/>
          <w:vertAlign w:val="baseline"/>
          <w:rtl w:val="0"/>
        </w:rPr>
        <w:t xml:space="preserve">1. MANAGEMENT OF CARDIAC ARREST</w:t>
      </w:r>
    </w:p>
    <w:p w:rsidR="00000000" w:rsidDel="00000000" w:rsidP="00000000" w:rsidRDefault="00000000" w:rsidRPr="00000000" w14:paraId="00000004">
      <w:pPr>
        <w:spacing w:after="16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Cardiac arrest requires immediate action for patient’s survival. It is treated as an emergency which requires a rapid response. 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Immediate cardiopulmonary resuscitation is done to restore flow of oxygenated blood to vital organs.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Loosen tight clothing around the chest and waist.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Place the patient in a flat surface and tilt the head to the back 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Wipe off secretions from the upper respiratory tracts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If ambu bag is available, oxygen should be delivered 4-6 litres per minute 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If no ambu bag; artificial respiration, mouth-to-mouth respiration to deliver oxygen to the alveoli of the lungs.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Start CPR immediately 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If there is a defibrillator, deliver one shock before carrying out CPR.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MANAGEMENT OF CARBON MONOXIDE POISONING</w:t>
      </w:r>
    </w:p>
    <w:p w:rsidR="00000000" w:rsidDel="00000000" w:rsidP="00000000" w:rsidRDefault="00000000" w:rsidRPr="00000000" w14:paraId="0000000E">
      <w:pPr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Assess airway and breathing for;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If the carbon monoxide poisoning is due to smoke inhalation, stridor (indicative of laryngeal edema due to thermal injury) may be present.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Respiratory depression may be present. </w:t>
      </w:r>
    </w:p>
    <w:p w:rsidR="00000000" w:rsidDel="00000000" w:rsidP="00000000" w:rsidRDefault="00000000" w:rsidRPr="00000000" w14:paraId="00000011">
      <w:pPr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3b383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  <w:rtl w:val="0"/>
        </w:rPr>
        <w:t xml:space="preserve">PRIMARY INTERVENTIONS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  <w:rtl w:val="0"/>
        </w:rPr>
        <w:t xml:space="preserve">Provide 100% oxygen by tight-fitting mask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  <w:rtl w:val="0"/>
        </w:rPr>
        <w:t xml:space="preserve">The elimination half-life of carboxyhemoglobin, in serum, for a person breathing room air is 5 hours 20 minutes 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  <w:rtl w:val="0"/>
        </w:rPr>
        <w:t xml:space="preserve">If the patient breathes 100% oxygen, the half-life is reduced to 80 minutes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  <w:rtl w:val="0"/>
        </w:rPr>
        <w:t xml:space="preserve">100% oxygen in a hyperbaric chamber will reduce the half-life to 23 minutes [treatment of choice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  <w:rtl w:val="0"/>
        </w:rPr>
        <w:t xml:space="preserve">Intubate, if necessary, to protect the airway.</w:t>
      </w:r>
    </w:p>
    <w:p w:rsidR="00000000" w:rsidDel="00000000" w:rsidP="00000000" w:rsidRDefault="00000000" w:rsidRPr="00000000" w14:paraId="00000017">
      <w:pPr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3b383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  <w:rtl w:val="0"/>
        </w:rPr>
        <w:t xml:space="preserve">GENERAL INTERVENTIONS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  <w:rtl w:val="0"/>
        </w:rPr>
        <w:t xml:space="preserve">History of exposure to carbon monoxide justifies immediate treatment.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  <w:rtl w:val="0"/>
        </w:rPr>
        <w:t xml:space="preserve">Give 100% oxygen at atmospheric or hyperbaric pressures to reverse hypoxia and accelerate elimination of carbon monoxide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  <w:rtl w:val="0"/>
        </w:rPr>
        <w:t xml:space="preserve">Patients should receive hyperbaric oxygen for CNS or cardiovascular system dysfunction.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  <w:rtl w:val="0"/>
        </w:rPr>
        <w:t xml:space="preserve">Use continuous ECG monitoring, treat dysrhythmias, and correct acid-base and electrolyte abnormalities.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b3835"/>
          <w:sz w:val="24"/>
          <w:szCs w:val="24"/>
          <w:shd w:fill="auto" w:val="clear"/>
          <w:vertAlign w:val="baseline"/>
          <w:rtl w:val="0"/>
        </w:rPr>
        <w:t xml:space="preserve">Observe the patient constantly—psychoses, spastic paralysis, vision disturbances, and deterioration of personality may persist after resuscitation and may be symptoms of permanent CNS damage.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vertAlign w:val="baseline"/>
          <w:rtl w:val="0"/>
        </w:rPr>
        <w:t xml:space="preserve">3. MANAGEMENT OF EPISTAXIS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Initial management includes compression of the nostrils (application of direct pressure to the septal area) and plugging of the affected nostril with gauze or cotton that has been soaked in a topical decongestant.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Direct pressure should be applied continuously for at least five minutes, and for up to 20 minutes.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Tilting the head forward prevents blood from pooling in the posterior pharynx, thereby avoiding nausea and airway obstruction.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Hemodynamic stability and airway patency should be confirmed.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Fluid resuscitation should be initiated if volume depletion is suspected.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Every attempt should be made to locate the source of bleeding that does not respond to simple compression and nasal plugging.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The examination should be performed in a well-lighted room, with the patient seated and clothing protected by a sheet or gown.</w:t>
      </w:r>
    </w:p>
    <w:p w:rsidR="00000000" w:rsidDel="00000000" w:rsidP="00000000" w:rsidRDefault="00000000" w:rsidRPr="00000000" w14:paraId="00000025">
      <w:pPr>
        <w:spacing w:after="16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shd w:fill="auto" w:val="clear"/>
          <w:vertAlign w:val="baseline"/>
          <w:rtl w:val="0"/>
        </w:rPr>
        <w:t xml:space="preserve">4. MANAGEMENT OF FOREIGN BODY IN THE EYE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Keep client calm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Provide psychological support for the client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Wash your hands with soap and water.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Seat the client in a well-lighted area.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Gently examine the eye to find the object. Pull the lower lid down and ask the client to look up. Then hold the upper lid while the person looks down.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If the object is floating in the tear film on the surface of the eye, try using a medicine dropper filled with clean, warm water to flush it out. Or tilt the head back and irrigate the surface of the eye with clean water from a drinking glass or a gentle stream of tap water.</w:t>
      </w:r>
    </w:p>
    <w:p w:rsidR="00000000" w:rsidDel="00000000" w:rsidP="00000000" w:rsidRDefault="00000000" w:rsidRPr="00000000" w14:paraId="0000002C">
      <w:pPr>
        <w:spacing w:after="16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Caution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Don't try to remove an object that's embedded in the eye.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Don't rub the eye.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Don't try to remove a large object that appears to be embedded in the eye or is sticking out between the lids.</w:t>
      </w:r>
    </w:p>
    <w:p w:rsidR="00000000" w:rsidDel="00000000" w:rsidP="00000000" w:rsidRDefault="00000000" w:rsidRPr="00000000" w14:paraId="00000030">
      <w:pPr>
        <w:spacing w:after="16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When to seek emergency care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Get immediate medical help if: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You can't remove the object with simple irrigation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The object is embedded in the eye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The person with the object in the eye is experiencing abnormal vision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160" w:before="0" w:line="48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Pain, redness or the sensation of an object in the eye persists after the object is removed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