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Times New Roman" w:hAnsi="Times New Roman" w:eastAsia="Times New Roman" w:cs="Times New Roman"/>
          <w:color w:val="1212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Times New Roman" w:cs="Times New Roman"/>
          <w:color w:val="121212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lang w:bidi="ar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lang w:bidi="ar"/>
        </w:rPr>
        <w:t xml:space="preserve">NAME: HENRIETTA </w:t>
      </w:r>
      <w:r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lang w:bidi="ar"/>
        </w:rPr>
        <w:t>HOMASOM</w:t>
      </w:r>
      <w:r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lang w:bidi="ar"/>
        </w:rPr>
        <w:t xml:space="preserve"> AGUMA </w:t>
      </w:r>
    </w:p>
    <w:p>
      <w:pPr>
        <w:widowControl/>
        <w:spacing w:line="360" w:lineRule="auto"/>
        <w:jc w:val="left"/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lang w:bidi="ar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lang w:bidi="ar"/>
        </w:rPr>
        <w:t>MATRIC NUMBER: 16/LAW01/020</w:t>
      </w:r>
    </w:p>
    <w:p>
      <w:pPr>
        <w:widowControl/>
        <w:spacing w:line="360" w:lineRule="auto"/>
        <w:jc w:val="left"/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lang w:bidi="ar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lang w:bidi="ar"/>
        </w:rPr>
        <w:t>COLLEGE: LAW</w:t>
      </w:r>
    </w:p>
    <w:p>
      <w:pPr>
        <w:widowControl/>
        <w:spacing w:line="360" w:lineRule="auto"/>
        <w:jc w:val="left"/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lang w:bidi="ar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lang w:bidi="ar"/>
        </w:rPr>
        <w:t>COURSE: LAND LAW</w:t>
      </w:r>
    </w:p>
    <w:p>
      <w:pPr>
        <w:widowControl/>
        <w:spacing w:line="36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u w:val="single"/>
          <w:lang w:bidi="ar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u w:val="single"/>
          <w:lang w:bidi="ar"/>
        </w:rPr>
        <w:t xml:space="preserve">ANSWER TO THE </w:t>
      </w:r>
      <w:r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u w:val="single"/>
          <w:lang w:bidi="ar"/>
        </w:rPr>
        <w:t>ASSIGNMENT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color w:val="121212"/>
          <w:kern w:val="0"/>
          <w:sz w:val="32"/>
          <w:szCs w:val="32"/>
          <w:u w:val="single"/>
          <w:lang w:bidi="ar"/>
        </w:rPr>
      </w:pPr>
      <w:r>
        <w:rPr>
          <w:rFonts w:hint="cs" w:ascii="Times New Roman" w:hAnsi="Times New Roman" w:eastAsia="Times New Roman" w:cs="Times New Roman"/>
          <w:color w:val="121212"/>
          <w:kern w:val="0"/>
          <w:sz w:val="32"/>
          <w:szCs w:val="32"/>
          <w:lang w:bidi="ar"/>
        </w:rPr>
        <w:t>Land</w:t>
      </w:r>
      <w:r>
        <w:rPr>
          <w:rFonts w:hint="cs" w:ascii="Times New Roman" w:hAnsi="Times New Roman" w:eastAsia="Times New Roman" w:cs="Times New Roman"/>
          <w:color w:val="121212"/>
          <w:kern w:val="0"/>
          <w:sz w:val="32"/>
          <w:szCs w:val="32"/>
          <w:lang w:bidi="ar"/>
        </w:rPr>
        <w:t xml:space="preserve"> tenure is the system of </w:t>
      </w:r>
      <w:r>
        <w:rPr>
          <w:rFonts w:hint="cs" w:ascii="Times New Roman" w:hAnsi="Times New Roman" w:eastAsia="Times New Roman" w:cs="Times New Roman"/>
          <w:color w:val="121212"/>
          <w:kern w:val="0"/>
          <w:sz w:val="32"/>
          <w:szCs w:val="32"/>
          <w:lang w:bidi="ar"/>
        </w:rPr>
        <w:t xml:space="preserve">landholding </w:t>
      </w:r>
      <w:r>
        <w:rPr>
          <w:rFonts w:hint="cs" w:ascii="Times New Roman" w:hAnsi="Times New Roman" w:eastAsia="Times New Roman" w:cs="Times New Roman"/>
          <w:color w:val="121212"/>
          <w:kern w:val="0"/>
          <w:sz w:val="32"/>
          <w:szCs w:val="32"/>
          <w:lang w:bidi="ar"/>
        </w:rPr>
        <w:t>in a given society. Accordi</w:t>
      </w:r>
      <w:r>
        <w:rPr>
          <w:rFonts w:hint="cs" w:ascii="Times New Roman" w:hAnsi="Times New Roman" w:eastAsia="Times New Roman" w:cs="Times New Roman"/>
          <w:color w:val="121212"/>
          <w:kern w:val="0"/>
          <w:sz w:val="32"/>
          <w:szCs w:val="32"/>
          <w:lang w:bidi="ar"/>
        </w:rPr>
        <w:t>ng</w:t>
      </w:r>
      <w:r>
        <w:rPr>
          <w:rFonts w:hint="cs" w:ascii="Times New Roman" w:hAnsi="Times New Roman" w:eastAsia="Times New Roman" w:cs="Times New Roman"/>
          <w:color w:val="121212"/>
          <w:kern w:val="0"/>
          <w:sz w:val="32"/>
          <w:szCs w:val="32"/>
          <w:lang w:bidi="ar"/>
        </w:rPr>
        <w:t xml:space="preserve"> to Prof </w:t>
      </w:r>
      <w:r>
        <w:rPr>
          <w:rFonts w:hint="cs" w:ascii="Times New Roman" w:hAnsi="Times New Roman" w:eastAsia="Times New Roman" w:cs="Times New Roman"/>
          <w:color w:val="121212"/>
          <w:kern w:val="0"/>
          <w:sz w:val="32"/>
          <w:szCs w:val="32"/>
          <w:lang w:bidi="ar"/>
        </w:rPr>
        <w:t>Mqeke</w:t>
      </w:r>
      <w:r>
        <w:rPr>
          <w:rFonts w:hint="cs" w:ascii="Times New Roman" w:hAnsi="Times New Roman" w:eastAsia="Times New Roman" w:cs="Times New Roman"/>
          <w:color w:val="121212"/>
          <w:kern w:val="0"/>
          <w:sz w:val="32"/>
          <w:szCs w:val="32"/>
          <w:lang w:bidi="ar"/>
        </w:rPr>
        <w:t>, customary law is defined as the “custom and usages traditionally observed among the indigenous African peoples and which form part of the culture of those peoples.”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121212"/>
          <w:kern w:val="0"/>
          <w:sz w:val="32"/>
          <w:szCs w:val="32"/>
          <w:lang w:bidi="ar"/>
        </w:rPr>
        <w:t>Nigeria is a society with diverse tribes, customs and cultures.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Land has a spiritual value as the home of those ancestors who, more often than is realized, play an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active and important part in the daily life of those still living. Instances abound in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especially in the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study area, in which some areas of land are used as sacred lands where sacrifices are occasionally made to the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ancestors.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Land tenure in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can be classified into community/communal or land owned by the entire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community (ANA OBODO), Village land/tenure (ANA OGBE), clan land/tenure (ANA UMUNNA),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the family land/tenure (ANA EZI NA ULO) and the individual land tenure. Outside these is also ones dedicated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to the gods of the land or otherwise known as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lang w:val="en-US" w:bidi="ar"/>
        </w:rPr>
        <w:t>‘O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FIA ALUSI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lang w:val="en-US" w:bidi="ar"/>
        </w:rPr>
        <w:t>’’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or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lang w:val="en-US" w:bidi="ar"/>
        </w:rPr>
        <w:t xml:space="preserve"> ‘AN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I ALUSI‟. </w:t>
      </w:r>
    </w:p>
    <w:p>
      <w:pPr>
        <w:spacing w:line="360" w:lineRule="auto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1D1B11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An Analysis of Igbo Traditional Land Tenure System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Public land tenure is known to the community but does not have much impact on the way the land is being used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or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utilised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.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Tenure systems under customary law vary but, in principle, are restricted to usufruct rights. These may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or may not be alienable,generally, or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saleable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in particular. They may be perpetual or for certain periods only,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or they may be solely for the lifetime of the holder (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Poguchi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1962). Although title to land is generally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unrecorded, family and individual rights are usually well known and accepted within the community (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Fabiyi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and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Adegboye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1977). Under the Nigerian customary land tenure system, there are different kinds of rights to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land, including the rights of the individual, the rights of the group and the rights of a sovereign nature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lang w:val="en-US" w:bidi="ar"/>
        </w:rPr>
        <w:t>.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According to Igbo‟s, the belief and tradition,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ala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(land) is a gift from God (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Chukwu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) and from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ancestors has not left them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. Ala (earth) is valued as a source of livelihood. Even though land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ownership has been men‟s domain.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pacing w:val="201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For the Igbo the mother earth is (LAND)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ala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the greatest deity after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Chukwu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the heavenly creator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While land is the birth right of every Igbo male, it has a communal dimension whereby all members of the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community are expected to share its resources, especially in rural areas, under some form of traditional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authority.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pacing w:val="201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community is one of the communities in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Awka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South L.G.A surrounded by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Awka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Nise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Nibo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Enugu-agidi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etc, the community serves as the seat of the government even before the elevation of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Awka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as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the state capital. It comprises of six villages and accommodates various institutions of government, such as the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governor lodge, local government headquarters, state police headquarters, the Nigerian Prison etc.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In traditional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society some reasons has been identified which leads to the demand for land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for various purposes which indirectly affects the tenures system and they includes: housing, farming, recreation, worship etc.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Housing: as population continues to grow, people must have to look for space where to build and take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care of their family, the provision of shelter is necessary.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Farming: traditionally in the past the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community was noted for peasant farming which helps them to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take care of their families.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Recreation: in this area, the various village squares serves as recreation for the members of the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community and even the OFIA ALUSI serves as recreation point for the masquerades during the EGBE ALUSI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festivals. Worship: Christians and traditionalist alike must have a place of worship.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historically in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community is one of the communities in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Awka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South L.G.A surrounded by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Awka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Nise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Nibo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Enugu-agidi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etc, the community serves as the seat of the government even before the elevation of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Awka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as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the state capital. It comprises of six villages and accommodates various institutions of government, such as the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governor lodge, local government headquarters, state police headquarters, the Nigerian Prison etc.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the traditional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society, a lot of factors conspired to determine the various types of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tenureship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in the community. Just as seen in table above the factors identified were largely agreed by the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respondents as the factors that conspired to determine land tenure system, they are discussed below: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In every Igbo society there are and there has been cases of borrowing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in past. One coming up may be asking question why a family that is not from their family or clan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should have a portion land close to their family or land without knowing that his fore fathers may have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used the same land to borrow money from another different from their family or clan. Also there has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been this history that the people of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who hailed from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Ezimezi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village or otherwise from (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Ezi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na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Ifite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) migrated to the current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Egebengwu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Nimo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and they are presently a small village there, they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farm there and have house. There is no way this people would have settled in such place if they have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no land to reside in.</w:t>
      </w:r>
      <w:r>
        <w:rPr>
          <w:rFonts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In a traditional society just like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certain lands were devoted for worship by the traditionalist and these people have chief priest and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whose instance the management of the entire land is entrusted to. These chief by virtue of their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position may partition or plot these land and even go to the extent of selling them. No one can question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their authority hence the popular adage in the community let the gods speak for itself (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Alusi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kwuelu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onweya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). One by virtue of being a male member of the family is entitled to the share of the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family land.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The government may decide to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acquire land for overriding public interest. Also the community may decide to go for war just to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increase their farm land e.g. the present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ngene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nkolobia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land which the chief priest has almost finished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selling the major part of the land was acquired through communal war. Also in the past there has been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a war between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community and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Awka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over the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Agbovu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land and the persistent struggle over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who owns the old local government station.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One by virtue of being male born of the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community is entitled to access to family land. Also there have been cases of families who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naturalised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in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and they were given parcel of land to build or occupy. </w:t>
      </w:r>
      <w:r>
        <w:rPr>
          <w:rFonts w:ascii="Times New Roman" w:hAnsi="Times New Roman" w:eastAsia="Times New Roman" w:cs="Times New Roman"/>
          <w:color w:val="000000"/>
          <w:sz w:val="32"/>
          <w:szCs w:val="32"/>
        </w:rPr>
        <w:t>I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n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land was held communally, however, this pattern of land ownership or land tenure has </w:t>
      </w:r>
      <w:bookmarkStart w:id="0" w:name="_GoBack"/>
      <w:bookmarkEnd w:id="0"/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given way to individually held pieces and parcels of land, or communally specific pattern of land tenure system.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The tenure system in traditional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society is a peculiar one; however for the purpose of this work,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different tenure practices in traditional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society may be seen as discussed below: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The communal land tenure system in traditional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society existed even before the different 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tenure laws were enacted in Nigeria. This could be seen in the various lands dedicated for different communal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lang w:val="en-US" w:bidi="ar"/>
        </w:rPr>
        <w:t>U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se and which includes the village squares, the market and other land dedicated for farming purposes e.g. the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(ANA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UMUNWANYI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) at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Agu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etc. Recall also that the traditional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society has in the past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fought wars just to increase her size of her communal land.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One can gain access to community land by being a member of the community. In this type of tenure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the land is owned by the entire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Amobia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community which can be shared among the six villages; the six villages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comprise of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Umueze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Ngene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Adabebe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Enuoji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Ezimezi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and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Umukabia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hence the Ana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Umueze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Ana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Adabebe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etc in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Agu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Amawbia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. The community land can be shared according to all male indigenes that pay the annual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recurrent levy (UTU ARO) to the community for purposes of farming only. The land is held in trust by the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Okpalaigwe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Amobia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the traditional ruler, he hold this land in trust for the entire community, the community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land includes;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Agu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Amobia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, etc. Communal land practices here is not distinct from the practices or features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already discussed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lang w:val="en-US" w:bidi="ar"/>
        </w:rPr>
        <w:t xml:space="preserve">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 xml:space="preserve">generally above on the types of land tenure systems. And note that there’s also the village land tenure (Ana 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Ogbe</w:t>
      </w:r>
      <w:r>
        <w:rPr>
          <w:rFonts w:hint="cs"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  <w:t>)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32"/>
          <w:szCs w:val="32"/>
          <w:lang w:val="en-US" w:bidi="ar"/>
        </w:rPr>
        <w:t>.</w:t>
      </w:r>
    </w:p>
    <w:p>
      <w:pPr>
        <w:widowControl/>
        <w:spacing w:line="360" w:lineRule="auto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rPr>
          <w:rFonts w:ascii="Times New Roman" w:hAnsi="Times New Roman" w:eastAsia="Times New Roman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imSun">
    <w:altName w:val="PINGFANG SC ULTRALIGHT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513"/>
        <w:tab w:val="right" w:pos="9026"/>
      </w:tabs>
    </w:pPr>
  </w:style>
  <w:style w:type="paragraph" w:styleId="3">
    <w:name w:val="header"/>
    <w:basedOn w:val="1"/>
    <w:link w:val="8"/>
    <w:uiPriority w:val="0"/>
    <w:pPr>
      <w:tabs>
        <w:tab w:val="center" w:pos="4513"/>
        <w:tab w:val="right" w:pos="9026"/>
      </w:tabs>
    </w:pPr>
  </w:style>
  <w:style w:type="paragraph" w:styleId="4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Header Char"/>
    <w:basedOn w:val="5"/>
    <w:link w:val="3"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/>
    </w:rPr>
  </w:style>
  <w:style w:type="character" w:customStyle="1" w:styleId="9">
    <w:name w:val="Footer Char"/>
    <w:basedOn w:val="5"/>
    <w:link w:val="2"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1666</Words>
  <Characters>8390</Characters>
  <Lines>69</Lines>
  <Paragraphs>20</Paragraphs>
  <ScaleCrop>false</ScaleCrop>
  <LinksUpToDate>false</LinksUpToDate>
  <CharactersWithSpaces>10036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2020-04-23T23:10:00Z</dcterms:created>
  <dc:creator>Homa</dc:creator>
  <cp:lastModifiedBy>Homa</cp:lastModifiedBy>
  <dcterms:modified xsi:type="dcterms:W3CDTF">2020-04-24T08:28:55Z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1033-10.0.2</vt:lpwstr>
  </property>
</Properties>
</file>