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BE" w:rsidRDefault="007D20BE"/>
    <w:p w:rsidR="001C78CC" w:rsidRDefault="001C78CC">
      <w:proofErr w:type="gramStart"/>
      <w:r>
        <w:t>Name :</w:t>
      </w:r>
      <w:proofErr w:type="gramEnd"/>
      <w:r>
        <w:t xml:space="preserve"> </w:t>
      </w:r>
      <w:proofErr w:type="spellStart"/>
      <w:r>
        <w:t>Idaye</w:t>
      </w:r>
      <w:proofErr w:type="spellEnd"/>
      <w:r>
        <w:t xml:space="preserve"> </w:t>
      </w:r>
      <w:proofErr w:type="spellStart"/>
      <w:r>
        <w:t>Tamunonengiofori</w:t>
      </w:r>
      <w:proofErr w:type="spellEnd"/>
      <w:r>
        <w:t xml:space="preserve"> </w:t>
      </w:r>
      <w:proofErr w:type="spellStart"/>
      <w:r>
        <w:t>Peniel</w:t>
      </w:r>
      <w:proofErr w:type="spellEnd"/>
      <w:r>
        <w:t>.</w:t>
      </w:r>
    </w:p>
    <w:p w:rsidR="001C78CC" w:rsidRDefault="001C78CC">
      <w:r>
        <w:t>Department: Mechanical Engineering.</w:t>
      </w:r>
    </w:p>
    <w:p w:rsidR="001C78CC" w:rsidRDefault="001C78CC">
      <w:r>
        <w:t>Matric No: 19/ENG06/027.</w:t>
      </w:r>
    </w:p>
    <w:p w:rsidR="001C78CC" w:rsidRDefault="001C78CC">
      <w:r>
        <w:t>Course Code: STA 132.</w:t>
      </w:r>
    </w:p>
    <w:p w:rsidR="001C78CC" w:rsidRDefault="001C78CC" w:rsidP="001C78CC">
      <w:pPr>
        <w:jc w:val="center"/>
        <w:rPr>
          <w:b/>
          <w:u w:val="single"/>
        </w:rPr>
      </w:pPr>
      <w:r w:rsidRPr="001C78CC">
        <w:rPr>
          <w:b/>
          <w:u w:val="single"/>
        </w:rPr>
        <w:t>Question</w:t>
      </w:r>
    </w:p>
    <w:p w:rsidR="001C78CC" w:rsidRDefault="001C78CC" w:rsidP="001C78CC">
      <w:r>
        <w:t xml:space="preserve">A study of Yellow Fever Disease (YFD) was conducted. The study was restricted to patients under the age of 40. One purpose </w:t>
      </w:r>
      <w:r w:rsidR="00EB7EFE">
        <w:t>was to compare the distribution of cases by age in group A to that of B. The group data are given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CI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 xml:space="preserve">Group A 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Group B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1-5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2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6-10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4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11-15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7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16-20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20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21-25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16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26-30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10</w:t>
            </w:r>
          </w:p>
        </w:tc>
      </w:tr>
      <w:tr w:rsidR="00EB7EFE" w:rsidTr="00EB7EFE">
        <w:tc>
          <w:tcPr>
            <w:tcW w:w="3116" w:type="dxa"/>
          </w:tcPr>
          <w:p w:rsidR="00EB7EFE" w:rsidRDefault="00EB7EFE" w:rsidP="00EB7EFE">
            <w:pPr>
              <w:jc w:val="center"/>
            </w:pPr>
            <w:r>
              <w:t>31-35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EB7EFE" w:rsidRDefault="00EB7EFE" w:rsidP="00EB7EFE">
            <w:pPr>
              <w:jc w:val="center"/>
            </w:pPr>
            <w:r>
              <w:t>4</w:t>
            </w:r>
          </w:p>
        </w:tc>
      </w:tr>
    </w:tbl>
    <w:p w:rsidR="00EB7EFE" w:rsidRDefault="00EB7EFE" w:rsidP="001C78CC"/>
    <w:p w:rsidR="00EB7EFE" w:rsidRDefault="00EB7EFE" w:rsidP="00EB7EFE">
      <w:r>
        <w:t>Calculate:</w:t>
      </w:r>
    </w:p>
    <w:p w:rsidR="00EB7EFE" w:rsidRDefault="00EB7EFE" w:rsidP="00EB7EFE">
      <w:pPr>
        <w:pStyle w:val="ListParagraph"/>
        <w:numPr>
          <w:ilvl w:val="0"/>
          <w:numId w:val="3"/>
        </w:numPr>
      </w:pPr>
      <w:r>
        <w:t>The mean and standard deviation for each group</w:t>
      </w:r>
    </w:p>
    <w:p w:rsidR="00EB7EFE" w:rsidRDefault="00EB7EFE" w:rsidP="00EB7EFE">
      <w:pPr>
        <w:pStyle w:val="ListParagraph"/>
        <w:numPr>
          <w:ilvl w:val="0"/>
          <w:numId w:val="3"/>
        </w:numPr>
      </w:pPr>
      <w:r>
        <w:t>The coefficient of variation for</w:t>
      </w:r>
      <w:r w:rsidR="00E20878">
        <w:t xml:space="preserve"> each group.</w:t>
      </w:r>
    </w:p>
    <w:p w:rsidR="00E20878" w:rsidRDefault="00E20878" w:rsidP="00E20878">
      <w:pPr>
        <w:pStyle w:val="ListParagraph"/>
        <w:numPr>
          <w:ilvl w:val="0"/>
          <w:numId w:val="3"/>
        </w:numPr>
      </w:pPr>
      <w:r>
        <w:t>Which group has less variable</w:t>
      </w:r>
      <w:r w:rsidR="00B72640">
        <w:t xml:space="preserve"> </w:t>
      </w:r>
      <w:proofErr w:type="gramStart"/>
      <w:r>
        <w:t>distribution.</w:t>
      </w:r>
      <w:proofErr w:type="gramEnd"/>
    </w:p>
    <w:p w:rsidR="00E20878" w:rsidRDefault="00E20878" w:rsidP="00E20878">
      <w:pPr>
        <w:jc w:val="center"/>
        <w:rPr>
          <w:b/>
          <w:u w:val="single"/>
        </w:rPr>
      </w:pPr>
      <w:r w:rsidRPr="00E20878">
        <w:rPr>
          <w:b/>
          <w:u w:val="single"/>
        </w:rPr>
        <w:t>Solution</w:t>
      </w:r>
    </w:p>
    <w:p w:rsidR="00E20878" w:rsidRDefault="00B72640" w:rsidP="00B7264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spellStart"/>
      <w:proofErr w:type="gramStart"/>
      <w:r>
        <w:rPr>
          <w:b/>
          <w:u w:val="single"/>
        </w:rPr>
        <w:t>i</w:t>
      </w:r>
      <w:proofErr w:type="spellEnd"/>
      <w:proofErr w:type="gramEnd"/>
      <w:r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28"/>
        <w:gridCol w:w="1752"/>
        <w:gridCol w:w="1238"/>
        <w:gridCol w:w="1305"/>
        <w:gridCol w:w="1104"/>
        <w:gridCol w:w="1104"/>
      </w:tblGrid>
      <w:tr w:rsidR="00B761BF" w:rsidTr="00AF2B1F">
        <w:tc>
          <w:tcPr>
            <w:tcW w:w="9350" w:type="dxa"/>
            <w:gridSpan w:val="7"/>
          </w:tcPr>
          <w:p w:rsidR="00B761BF" w:rsidRPr="00C72153" w:rsidRDefault="00B761BF" w:rsidP="00C72153">
            <w:pPr>
              <w:jc w:val="center"/>
              <w:rPr>
                <w:b/>
              </w:rPr>
            </w:pPr>
            <w:r w:rsidRPr="00C72153">
              <w:rPr>
                <w:b/>
              </w:rPr>
              <w:t>Group A</w:t>
            </w:r>
          </w:p>
        </w:tc>
      </w:tr>
      <w:tr w:rsidR="002F1122" w:rsidTr="002F1122">
        <w:trPr>
          <w:trHeight w:val="188"/>
        </w:trPr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CI</w:t>
            </w:r>
          </w:p>
        </w:tc>
        <w:tc>
          <w:tcPr>
            <w:tcW w:w="1428" w:type="dxa"/>
          </w:tcPr>
          <w:p w:rsidR="002F1122" w:rsidRDefault="002F1122" w:rsidP="00C72153">
            <w:pPr>
              <w:jc w:val="center"/>
            </w:pPr>
            <w:r>
              <w:t>Class Mark (x)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Frequency (f)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proofErr w:type="spellStart"/>
            <w:r>
              <w:t>Fx</w:t>
            </w:r>
            <w:proofErr w:type="spellEnd"/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  <w:tc>
          <w:tcPr>
            <w:tcW w:w="1104" w:type="dxa"/>
          </w:tcPr>
          <w:p w:rsidR="002F1122" w:rsidRPr="002F1122" w:rsidRDefault="002F1122" w:rsidP="002F1122">
            <w:pPr>
              <w:jc w:val="center"/>
              <w:rPr>
                <w:vertAlign w:val="superscript"/>
              </w:rPr>
            </w:pPr>
            <w: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  <w:tc>
          <w:tcPr>
            <w:tcW w:w="1104" w:type="dxa"/>
          </w:tcPr>
          <w:p w:rsidR="002F1122" w:rsidRPr="002F1122" w:rsidRDefault="002F1122" w:rsidP="00995FEA">
            <w:pPr>
              <w:jc w:val="center"/>
              <w:rPr>
                <w:vertAlign w:val="superscript"/>
              </w:rPr>
            </w:pPr>
            <w:r>
              <w:t>f(x-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>)</w:t>
            </w:r>
            <w:r>
              <w:rPr>
                <w:rFonts w:eastAsiaTheme="minorEastAsia"/>
                <w:vertAlign w:val="superscript"/>
              </w:rPr>
              <w:t>2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1-5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3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0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0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-14.83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219.93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0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6-10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8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7</w:t>
            </w:r>
          </w:p>
        </w:tc>
        <w:tc>
          <w:tcPr>
            <w:tcW w:w="1238" w:type="dxa"/>
          </w:tcPr>
          <w:p w:rsidR="002F1122" w:rsidRDefault="002F1122" w:rsidP="00C72153">
            <w:pPr>
              <w:jc w:val="center"/>
            </w:pPr>
            <w:r>
              <w:t>56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-9.83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96.63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676.41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11-15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13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10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130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-4.83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23.33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233.30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16-20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18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36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0.17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0.03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0.06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21-25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23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23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5.17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26.73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26.73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26-30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28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5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140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10.17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103.43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517.15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31-35</w:t>
            </w:r>
          </w:p>
        </w:tc>
        <w:tc>
          <w:tcPr>
            <w:tcW w:w="1428" w:type="dxa"/>
          </w:tcPr>
          <w:p w:rsidR="002F1122" w:rsidRDefault="002F1122" w:rsidP="00995FEA">
            <w:pPr>
              <w:jc w:val="center"/>
            </w:pPr>
            <w:r>
              <w:t>33</w:t>
            </w: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132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  <w:r>
              <w:t>15.17</w:t>
            </w: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  <w:r>
              <w:t>230.13</w:t>
            </w:r>
          </w:p>
        </w:tc>
        <w:tc>
          <w:tcPr>
            <w:tcW w:w="1104" w:type="dxa"/>
          </w:tcPr>
          <w:p w:rsidR="002F1122" w:rsidRDefault="00703D79" w:rsidP="00995FEA">
            <w:pPr>
              <w:jc w:val="center"/>
            </w:pPr>
            <w:r>
              <w:t>920.52</w:t>
            </w:r>
          </w:p>
        </w:tc>
      </w:tr>
      <w:tr w:rsidR="002F1122" w:rsidTr="002F1122">
        <w:tc>
          <w:tcPr>
            <w:tcW w:w="1419" w:type="dxa"/>
          </w:tcPr>
          <w:p w:rsidR="002F1122" w:rsidRDefault="002F1122" w:rsidP="00995FEA">
            <w:pPr>
              <w:jc w:val="center"/>
            </w:pPr>
            <w:r>
              <w:t>TOTAL</w:t>
            </w:r>
          </w:p>
        </w:tc>
        <w:tc>
          <w:tcPr>
            <w:tcW w:w="1428" w:type="dxa"/>
          </w:tcPr>
          <w:p w:rsidR="002F1122" w:rsidRDefault="002F1122" w:rsidP="009E32A9">
            <w:pPr>
              <w:jc w:val="center"/>
            </w:pPr>
          </w:p>
        </w:tc>
        <w:tc>
          <w:tcPr>
            <w:tcW w:w="1752" w:type="dxa"/>
          </w:tcPr>
          <w:p w:rsidR="002F1122" w:rsidRDefault="002F1122" w:rsidP="00995FEA">
            <w:pPr>
              <w:jc w:val="center"/>
            </w:pPr>
            <w:r>
              <w:t>29</w:t>
            </w:r>
          </w:p>
        </w:tc>
        <w:tc>
          <w:tcPr>
            <w:tcW w:w="1238" w:type="dxa"/>
          </w:tcPr>
          <w:p w:rsidR="002F1122" w:rsidRDefault="002F1122" w:rsidP="00995FEA">
            <w:pPr>
              <w:jc w:val="center"/>
            </w:pPr>
            <w:r>
              <w:t>517</w:t>
            </w:r>
          </w:p>
        </w:tc>
        <w:tc>
          <w:tcPr>
            <w:tcW w:w="1305" w:type="dxa"/>
          </w:tcPr>
          <w:p w:rsidR="002F1122" w:rsidRDefault="002F1122" w:rsidP="00995FEA">
            <w:pPr>
              <w:jc w:val="center"/>
            </w:pPr>
          </w:p>
        </w:tc>
        <w:tc>
          <w:tcPr>
            <w:tcW w:w="1104" w:type="dxa"/>
          </w:tcPr>
          <w:p w:rsidR="002F1122" w:rsidRDefault="002F1122" w:rsidP="00995FEA">
            <w:pPr>
              <w:jc w:val="center"/>
            </w:pPr>
          </w:p>
        </w:tc>
        <w:tc>
          <w:tcPr>
            <w:tcW w:w="1104" w:type="dxa"/>
          </w:tcPr>
          <w:p w:rsidR="002F1122" w:rsidRDefault="00703D79" w:rsidP="00995FEA">
            <w:pPr>
              <w:jc w:val="center"/>
            </w:pPr>
            <w:r>
              <w:t>2374.17</w:t>
            </w:r>
          </w:p>
        </w:tc>
      </w:tr>
    </w:tbl>
    <w:p w:rsidR="00E20878" w:rsidRDefault="00E20878" w:rsidP="00E20878">
      <w:pPr>
        <w:rPr>
          <w:b/>
        </w:rPr>
      </w:pPr>
    </w:p>
    <w:p w:rsidR="00B70683" w:rsidRDefault="009312D4" w:rsidP="00E20878">
      <w:pPr>
        <w:rPr>
          <w:rFonts w:eastAsiaTheme="minorEastAsia"/>
        </w:rPr>
      </w:pPr>
      <w:r>
        <w:rPr>
          <w:rFonts w:eastAsiaTheme="minorEastAsia"/>
        </w:rPr>
        <w:t>M</w:t>
      </w:r>
      <w:r w:rsidR="00B70683">
        <w:rPr>
          <w:rFonts w:eastAsiaTheme="minorEastAsia"/>
        </w:rPr>
        <w:t>ean</w:t>
      </w:r>
      <w:r>
        <w:rPr>
          <w:rFonts w:eastAsiaTheme="minorEastAsia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)</w:t>
      </w:r>
      <w:r w:rsidR="00B70683">
        <w:rPr>
          <w:rFonts w:eastAsiaTheme="minorEastAsia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f</m:t>
                </m:r>
              </m:den>
            </m:f>
          </m:e>
        </m:nary>
      </m:oMath>
      <w:r w:rsidR="009E32A9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517</m:t>
            </m:r>
          </m:num>
          <m:den>
            <m:r>
              <w:rPr>
                <w:rFonts w:ascii="Cambria Math" w:eastAsiaTheme="minorEastAsia" w:hAnsi="Cambria Math"/>
              </w:rPr>
              <m:t>29</m:t>
            </m:r>
          </m:den>
        </m:f>
      </m:oMath>
      <w:r w:rsidR="009E32A9">
        <w:rPr>
          <w:rFonts w:eastAsiaTheme="minorEastAsia"/>
        </w:rPr>
        <w:t xml:space="preserve"> = 17.83 </w:t>
      </w:r>
    </w:p>
    <w:p w:rsidR="009E32A9" w:rsidRDefault="00703D79" w:rsidP="00E20878">
      <w:pPr>
        <w:rPr>
          <w:rFonts w:eastAsiaTheme="minorEastAsia"/>
        </w:rPr>
      </w:pPr>
      <w:r>
        <w:rPr>
          <w:rFonts w:eastAsiaTheme="minorEastAsia"/>
        </w:rPr>
        <w:lastRenderedPageBreak/>
        <w:t>Standard Deviation (S</w:t>
      </w:r>
      <w:r w:rsidR="009E32A9">
        <w:rPr>
          <w:rFonts w:eastAsiaTheme="minorEastAsia"/>
        </w:rPr>
        <w:t>.D</w:t>
      </w:r>
      <w:proofErr w:type="gramStart"/>
      <w:r w:rsidR="009E32A9">
        <w:rPr>
          <w:rFonts w:eastAsiaTheme="minorEastAsia"/>
        </w:rPr>
        <w:t>)=</w:t>
      </w:r>
      <w:proofErr w:type="gramEnd"/>
      <w:r w:rsidR="009E32A9"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nary>
              </m:den>
            </m:f>
          </m:e>
        </m:rad>
      </m:oMath>
      <w:r w:rsidR="00B761BF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2374.17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29</m:t>
                </m:r>
              </m:den>
            </m:f>
          </m:e>
        </m:rad>
      </m:oMath>
      <w:r w:rsidR="00B761BF">
        <w:rPr>
          <w:rFonts w:eastAsiaTheme="minorEastAsia"/>
        </w:rPr>
        <w:t xml:space="preserve"> = 81.87</w:t>
      </w:r>
    </w:p>
    <w:tbl>
      <w:tblPr>
        <w:tblStyle w:val="TableGrid"/>
        <w:tblW w:w="9765" w:type="dxa"/>
        <w:tblLook w:val="04A0" w:firstRow="1" w:lastRow="0" w:firstColumn="1" w:lastColumn="0" w:noHBand="0" w:noVBand="1"/>
      </w:tblPr>
      <w:tblGrid>
        <w:gridCol w:w="1402"/>
        <w:gridCol w:w="1657"/>
        <w:gridCol w:w="1658"/>
        <w:gridCol w:w="1136"/>
        <w:gridCol w:w="1136"/>
        <w:gridCol w:w="1330"/>
        <w:gridCol w:w="1446"/>
      </w:tblGrid>
      <w:tr w:rsidR="00F2275D" w:rsidTr="009312D4">
        <w:trPr>
          <w:trHeight w:val="266"/>
        </w:trPr>
        <w:tc>
          <w:tcPr>
            <w:tcW w:w="9765" w:type="dxa"/>
            <w:gridSpan w:val="7"/>
          </w:tcPr>
          <w:p w:rsidR="00F2275D" w:rsidRPr="00B72640" w:rsidRDefault="00F2275D" w:rsidP="00995FEA">
            <w:pPr>
              <w:jc w:val="center"/>
              <w:rPr>
                <w:b/>
              </w:rPr>
            </w:pPr>
            <w:r w:rsidRPr="00B72640">
              <w:rPr>
                <w:b/>
              </w:rPr>
              <w:t>Group B</w:t>
            </w:r>
          </w:p>
        </w:tc>
      </w:tr>
      <w:tr w:rsidR="009312D4" w:rsidTr="009312D4">
        <w:trPr>
          <w:trHeight w:val="522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CI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 xml:space="preserve">Class Mark (x) 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Frequency (f)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proofErr w:type="spellStart"/>
            <w:r>
              <w:t>fx</w:t>
            </w:r>
            <w:proofErr w:type="spellEnd"/>
          </w:p>
        </w:tc>
        <w:tc>
          <w:tcPr>
            <w:tcW w:w="1136" w:type="dxa"/>
          </w:tcPr>
          <w:p w:rsidR="009312D4" w:rsidRDefault="009312D4" w:rsidP="00F2275D">
            <w:pPr>
              <w:jc w:val="center"/>
            </w:pPr>
            <w:r>
              <w:t>( x-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330" w:type="dxa"/>
          </w:tcPr>
          <w:p w:rsidR="009312D4" w:rsidRDefault="003B0FD5" w:rsidP="00F2275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x)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3" w:type="dxa"/>
          </w:tcPr>
          <w:p w:rsidR="009312D4" w:rsidRDefault="003B0FD5" w:rsidP="00995FEA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f(x-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1-5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6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-16.51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272.58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545.16</w:t>
            </w:r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6-10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8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9312D4" w:rsidRDefault="009312D4" w:rsidP="009312D4">
            <w:pPr>
              <w:jc w:val="center"/>
            </w:pPr>
            <w:r>
              <w:t>32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-11.51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132.48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529.92</w:t>
            </w:r>
          </w:p>
        </w:tc>
      </w:tr>
      <w:tr w:rsidR="009312D4" w:rsidTr="009312D4">
        <w:trPr>
          <w:trHeight w:val="255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11-15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13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7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91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-6.51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42.38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296.66</w:t>
            </w:r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16-20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18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320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-1.51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2.28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45.60</w:t>
            </w:r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21-25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23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368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3.49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12.18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194.88</w:t>
            </w:r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26-30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28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280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8.49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72.08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720.80</w:t>
            </w:r>
          </w:p>
        </w:tc>
      </w:tr>
      <w:tr w:rsidR="009312D4" w:rsidTr="009312D4">
        <w:trPr>
          <w:trHeight w:val="255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31-35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  <w:r>
              <w:t>33</w:t>
            </w: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132</w:t>
            </w:r>
          </w:p>
        </w:tc>
        <w:tc>
          <w:tcPr>
            <w:tcW w:w="1136" w:type="dxa"/>
          </w:tcPr>
          <w:p w:rsidR="009312D4" w:rsidRDefault="00DE5D14" w:rsidP="00995FEA">
            <w:pPr>
              <w:jc w:val="center"/>
            </w:pPr>
            <w:r>
              <w:t>13.49</w:t>
            </w:r>
          </w:p>
        </w:tc>
        <w:tc>
          <w:tcPr>
            <w:tcW w:w="1330" w:type="dxa"/>
          </w:tcPr>
          <w:p w:rsidR="009312D4" w:rsidRDefault="00DE5D14" w:rsidP="00995FEA">
            <w:pPr>
              <w:jc w:val="center"/>
            </w:pPr>
            <w:r>
              <w:t>181.98</w:t>
            </w:r>
          </w:p>
        </w:tc>
        <w:tc>
          <w:tcPr>
            <w:tcW w:w="1443" w:type="dxa"/>
          </w:tcPr>
          <w:p w:rsidR="009312D4" w:rsidRDefault="00DE5D14" w:rsidP="00995FEA">
            <w:pPr>
              <w:jc w:val="center"/>
            </w:pPr>
            <w:r>
              <w:t>727.92</w:t>
            </w:r>
          </w:p>
        </w:tc>
      </w:tr>
      <w:tr w:rsidR="009312D4" w:rsidTr="009312D4">
        <w:trPr>
          <w:trHeight w:val="266"/>
        </w:trPr>
        <w:tc>
          <w:tcPr>
            <w:tcW w:w="1402" w:type="dxa"/>
          </w:tcPr>
          <w:p w:rsidR="009312D4" w:rsidRDefault="009312D4" w:rsidP="00995FEA">
            <w:pPr>
              <w:jc w:val="center"/>
            </w:pPr>
            <w:r>
              <w:t>TOTAL</w:t>
            </w:r>
          </w:p>
        </w:tc>
        <w:tc>
          <w:tcPr>
            <w:tcW w:w="1657" w:type="dxa"/>
          </w:tcPr>
          <w:p w:rsidR="009312D4" w:rsidRDefault="009312D4" w:rsidP="00995FEA">
            <w:pPr>
              <w:jc w:val="center"/>
            </w:pPr>
          </w:p>
        </w:tc>
        <w:tc>
          <w:tcPr>
            <w:tcW w:w="1658" w:type="dxa"/>
          </w:tcPr>
          <w:p w:rsidR="009312D4" w:rsidRDefault="009312D4" w:rsidP="00995FEA">
            <w:pPr>
              <w:jc w:val="center"/>
            </w:pPr>
            <w:r>
              <w:t>63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  <w:r>
              <w:t>1229</w:t>
            </w:r>
          </w:p>
        </w:tc>
        <w:tc>
          <w:tcPr>
            <w:tcW w:w="1136" w:type="dxa"/>
          </w:tcPr>
          <w:p w:rsidR="009312D4" w:rsidRDefault="009312D4" w:rsidP="00995FEA">
            <w:pPr>
              <w:jc w:val="center"/>
            </w:pPr>
          </w:p>
        </w:tc>
        <w:tc>
          <w:tcPr>
            <w:tcW w:w="1330" w:type="dxa"/>
          </w:tcPr>
          <w:p w:rsidR="009312D4" w:rsidRDefault="009312D4" w:rsidP="00995FEA">
            <w:pPr>
              <w:jc w:val="center"/>
            </w:pPr>
          </w:p>
        </w:tc>
        <w:tc>
          <w:tcPr>
            <w:tcW w:w="1443" w:type="dxa"/>
          </w:tcPr>
          <w:p w:rsidR="009312D4" w:rsidRDefault="00B72640" w:rsidP="00995FEA">
            <w:pPr>
              <w:jc w:val="center"/>
            </w:pPr>
            <w:r>
              <w:t>3060.94</w:t>
            </w:r>
          </w:p>
        </w:tc>
      </w:tr>
    </w:tbl>
    <w:p w:rsidR="00B761BF" w:rsidRDefault="00B761BF" w:rsidP="00E20878"/>
    <w:p w:rsidR="009312D4" w:rsidRDefault="00B72640" w:rsidP="009312D4">
      <w:pPr>
        <w:rPr>
          <w:rFonts w:eastAsiaTheme="minorEastAsia"/>
        </w:rPr>
      </w:pPr>
      <w:r>
        <w:rPr>
          <w:rFonts w:eastAsiaTheme="minorEastAsia"/>
        </w:rPr>
        <w:t>M</w:t>
      </w:r>
      <w:r w:rsidR="009312D4">
        <w:rPr>
          <w:rFonts w:eastAsiaTheme="minorEastAsia"/>
        </w:rPr>
        <w:t>ean</w:t>
      </w:r>
      <w:r>
        <w:rPr>
          <w:rFonts w:eastAsiaTheme="minorEastAsia"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>)</w:t>
      </w:r>
      <w:r w:rsidR="009312D4">
        <w:rPr>
          <w:rFonts w:eastAsiaTheme="minorEastAsia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fx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f</m:t>
                </m:r>
              </m:den>
            </m:f>
          </m:e>
        </m:nary>
      </m:oMath>
      <w:r w:rsidR="009312D4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1229</m:t>
            </m:r>
          </m:num>
          <m:den>
            <m:r>
              <w:rPr>
                <w:rFonts w:ascii="Cambria Math" w:eastAsiaTheme="minorEastAsia" w:hAnsi="Cambria Math"/>
              </w:rPr>
              <m:t>63</m:t>
            </m:r>
          </m:den>
        </m:f>
      </m:oMath>
      <w:r w:rsidR="009312D4">
        <w:rPr>
          <w:rFonts w:eastAsiaTheme="minorEastAsia"/>
        </w:rPr>
        <w:t xml:space="preserve"> = </w:t>
      </w:r>
      <w:r w:rsidR="00DE5D14">
        <w:rPr>
          <w:rFonts w:eastAsiaTheme="minorEastAsia"/>
        </w:rPr>
        <w:t>19.51</w:t>
      </w:r>
      <w:r w:rsidR="009312D4">
        <w:rPr>
          <w:rFonts w:eastAsiaTheme="minorEastAsia"/>
        </w:rPr>
        <w:t xml:space="preserve"> </w:t>
      </w:r>
    </w:p>
    <w:p w:rsidR="00B72640" w:rsidRDefault="00B72640" w:rsidP="00B72640">
      <w:pPr>
        <w:rPr>
          <w:rFonts w:eastAsiaTheme="minorEastAsia"/>
        </w:rPr>
      </w:pPr>
      <w:r>
        <w:rPr>
          <w:rFonts w:eastAsiaTheme="minorEastAsia"/>
        </w:rPr>
        <w:t>Standard Deviation (S.D</w:t>
      </w:r>
      <w:proofErr w:type="gramStart"/>
      <w:r>
        <w:rPr>
          <w:rFonts w:eastAsiaTheme="minorEastAsia"/>
        </w:rPr>
        <w:t>)=</w:t>
      </w:r>
      <w:proofErr w:type="gramEnd"/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</m:nary>
              </m:den>
            </m:f>
          </m:e>
        </m:rad>
      </m:oMath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3060.94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63</m:t>
                </m:r>
              </m:den>
            </m:f>
          </m:e>
        </m:rad>
      </m:oMath>
      <w:r>
        <w:rPr>
          <w:rFonts w:eastAsiaTheme="minorEastAsia"/>
        </w:rPr>
        <w:t xml:space="preserve"> = 48.59</w:t>
      </w:r>
    </w:p>
    <w:p w:rsidR="00B72640" w:rsidRDefault="00B72640" w:rsidP="00B72640">
      <w:pPr>
        <w:rPr>
          <w:rFonts w:eastAsiaTheme="minorEastAsia"/>
        </w:rPr>
      </w:pPr>
    </w:p>
    <w:p w:rsidR="00B72640" w:rsidRDefault="00B72640" w:rsidP="00B72640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(ii)</w:t>
      </w:r>
    </w:p>
    <w:p w:rsidR="00B72640" w:rsidRPr="00B72640" w:rsidRDefault="00B72640" w:rsidP="00B72640">
      <w:pPr>
        <w:rPr>
          <w:rFonts w:eastAsiaTheme="minorEastAsia"/>
        </w:rPr>
      </w:pPr>
      <w:r>
        <w:rPr>
          <w:rFonts w:eastAsiaTheme="minorEastAsia"/>
        </w:rPr>
        <w:t xml:space="preserve">Coefficient of Variation for Group A=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S.D</m:t>
            </m:r>
          </m:num>
          <m:den>
            <m:r>
              <w:rPr>
                <w:rFonts w:ascii="Cambria Math" w:eastAsiaTheme="minorEastAsia" w:hAnsi="Cambria Math"/>
              </w:rPr>
              <m:t>Mean</m:t>
            </m:r>
          </m:den>
        </m:f>
        <m:r>
          <w:rPr>
            <w:rFonts w:ascii="Cambria Math" w:eastAsiaTheme="minorEastAsia" w:hAnsi="Cambria Math"/>
          </w:rPr>
          <m:t>×100%</m:t>
        </m:r>
      </m:oMath>
    </w:p>
    <w:p w:rsidR="009312D4" w:rsidRDefault="00095C8A" w:rsidP="00E20878">
      <w:r>
        <w:t>S.D for Group A = 81.87</w:t>
      </w:r>
    </w:p>
    <w:p w:rsidR="00095C8A" w:rsidRDefault="00095C8A" w:rsidP="00E20878">
      <w:r>
        <w:t>Mean for Group A = 17.83</w:t>
      </w:r>
    </w:p>
    <w:p w:rsidR="00095C8A" w:rsidRDefault="00095C8A" w:rsidP="00E20878">
      <w:pPr>
        <w:rPr>
          <w:rFonts w:eastAsiaTheme="minorEastAsia"/>
        </w:rPr>
      </w:pPr>
      <w:r>
        <w:t xml:space="preserve">Therefore, the coefficient of Variation for Group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81.87</m:t>
            </m:r>
          </m:num>
          <m:den>
            <m:r>
              <w:rPr>
                <w:rFonts w:ascii="Cambria Math" w:hAnsi="Cambria Math"/>
              </w:rPr>
              <m:t>17.83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 xml:space="preserve"> = 459.17</w:t>
      </w:r>
    </w:p>
    <w:p w:rsidR="00095C8A" w:rsidRDefault="00095C8A" w:rsidP="00E20878">
      <w:pPr>
        <w:rPr>
          <w:rFonts w:eastAsiaTheme="minorEastAsia"/>
        </w:rPr>
      </w:pPr>
    </w:p>
    <w:p w:rsidR="00095C8A" w:rsidRPr="00B72640" w:rsidRDefault="00095C8A" w:rsidP="00095C8A">
      <w:pPr>
        <w:rPr>
          <w:rFonts w:eastAsiaTheme="minorEastAsia"/>
        </w:rPr>
      </w:pPr>
      <w:r>
        <w:rPr>
          <w:rFonts w:eastAsiaTheme="minorEastAsia"/>
        </w:rPr>
        <w:t xml:space="preserve">Coefficient of Variation for Group B=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S.D</m:t>
            </m:r>
          </m:num>
          <m:den>
            <m:r>
              <w:rPr>
                <w:rFonts w:ascii="Cambria Math" w:eastAsiaTheme="minorEastAsia" w:hAnsi="Cambria Math"/>
              </w:rPr>
              <m:t>Mean</m:t>
            </m:r>
          </m:den>
        </m:f>
        <m:r>
          <w:rPr>
            <w:rFonts w:ascii="Cambria Math" w:eastAsiaTheme="minorEastAsia" w:hAnsi="Cambria Math"/>
          </w:rPr>
          <m:t>×100%</m:t>
        </m:r>
      </m:oMath>
    </w:p>
    <w:p w:rsidR="00095C8A" w:rsidRDefault="0092647D" w:rsidP="00095C8A">
      <w:r>
        <w:t>S.D for Group B</w:t>
      </w:r>
      <w:r w:rsidR="00095C8A">
        <w:t xml:space="preserve"> = 48.59</w:t>
      </w:r>
    </w:p>
    <w:p w:rsidR="00095C8A" w:rsidRDefault="0092647D" w:rsidP="00095C8A">
      <w:r>
        <w:t>Mean for Group B</w:t>
      </w:r>
      <w:r w:rsidR="00095C8A">
        <w:t xml:space="preserve"> = 19.51</w:t>
      </w:r>
    </w:p>
    <w:p w:rsidR="00095C8A" w:rsidRDefault="00095C8A" w:rsidP="00095C8A">
      <w:pPr>
        <w:rPr>
          <w:rFonts w:eastAsiaTheme="minorEastAsia"/>
        </w:rPr>
      </w:pPr>
      <w:r>
        <w:t>Therefore, the coeffi</w:t>
      </w:r>
      <w:r w:rsidR="0092647D">
        <w:t>cient of Variation for Group B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48.59</m:t>
            </m:r>
          </m:num>
          <m:den>
            <m:r>
              <w:rPr>
                <w:rFonts w:ascii="Cambria Math" w:hAnsi="Cambria Math"/>
              </w:rPr>
              <m:t>19.51</m:t>
            </m:r>
          </m:den>
        </m:f>
        <m:r>
          <w:rPr>
            <w:rFonts w:ascii="Cambria Math" w:hAnsi="Cambria Math"/>
          </w:rPr>
          <m:t>×100%</m:t>
        </m:r>
      </m:oMath>
      <w:r>
        <w:rPr>
          <w:rFonts w:eastAsiaTheme="minorEastAsia"/>
        </w:rPr>
        <w:t xml:space="preserve"> = 249.05</w:t>
      </w:r>
    </w:p>
    <w:p w:rsidR="00095C8A" w:rsidRDefault="00095C8A" w:rsidP="00095C8A">
      <w:pPr>
        <w:rPr>
          <w:rFonts w:eastAsiaTheme="minorEastAsia"/>
        </w:rPr>
      </w:pPr>
    </w:p>
    <w:p w:rsidR="00095C8A" w:rsidRDefault="00095C8A" w:rsidP="00095C8A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(III)</w:t>
      </w:r>
    </w:p>
    <w:p w:rsidR="00095C8A" w:rsidRPr="00095C8A" w:rsidRDefault="00095C8A" w:rsidP="00095C8A">
      <w:r>
        <w:rPr>
          <w:rFonts w:eastAsiaTheme="minorEastAsia"/>
        </w:rPr>
        <w:t xml:space="preserve">Group </w:t>
      </w:r>
      <w:r w:rsidR="00FC63AB">
        <w:rPr>
          <w:rFonts w:eastAsiaTheme="minorEastAsia"/>
        </w:rPr>
        <w:t>B has a lesser</w:t>
      </w:r>
      <w:r w:rsidR="003B0FD5">
        <w:rPr>
          <w:rFonts w:eastAsiaTheme="minorEastAsia"/>
        </w:rPr>
        <w:t xml:space="preserve"> variable</w:t>
      </w:r>
      <w:r w:rsidR="00FC63AB">
        <w:rPr>
          <w:rFonts w:eastAsiaTheme="minorEastAsia"/>
        </w:rPr>
        <w:t xml:space="preserve"> di</w:t>
      </w:r>
      <w:bookmarkStart w:id="0" w:name="_GoBack"/>
      <w:bookmarkEnd w:id="0"/>
      <w:r w:rsidR="00FC63AB">
        <w:rPr>
          <w:rFonts w:eastAsiaTheme="minorEastAsia"/>
        </w:rPr>
        <w:t>stribution than Group A.</w:t>
      </w:r>
    </w:p>
    <w:sectPr w:rsidR="00095C8A" w:rsidRPr="0009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A2"/>
    <w:multiLevelType w:val="hybridMultilevel"/>
    <w:tmpl w:val="914A45E0"/>
    <w:lvl w:ilvl="0" w:tplc="19EA7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3619"/>
    <w:multiLevelType w:val="hybridMultilevel"/>
    <w:tmpl w:val="32C8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1BDE"/>
    <w:multiLevelType w:val="hybridMultilevel"/>
    <w:tmpl w:val="DCB6F588"/>
    <w:lvl w:ilvl="0" w:tplc="91ACDB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C"/>
    <w:rsid w:val="00095C8A"/>
    <w:rsid w:val="001C78CC"/>
    <w:rsid w:val="002F1122"/>
    <w:rsid w:val="003B0FD5"/>
    <w:rsid w:val="00703D79"/>
    <w:rsid w:val="007D20BE"/>
    <w:rsid w:val="0092647D"/>
    <w:rsid w:val="009312D4"/>
    <w:rsid w:val="009E32A9"/>
    <w:rsid w:val="00B70683"/>
    <w:rsid w:val="00B72640"/>
    <w:rsid w:val="00B761BF"/>
    <w:rsid w:val="00C72153"/>
    <w:rsid w:val="00DE5D14"/>
    <w:rsid w:val="00E20878"/>
    <w:rsid w:val="00EB7EFE"/>
    <w:rsid w:val="00F2275D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7BDB"/>
  <w15:chartTrackingRefBased/>
  <w15:docId w15:val="{47377703-7218-4713-B927-808F54EA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CC"/>
    <w:pPr>
      <w:ind w:left="720"/>
      <w:contextualSpacing/>
    </w:pPr>
  </w:style>
  <w:style w:type="table" w:styleId="TableGrid">
    <w:name w:val="Table Grid"/>
    <w:basedOn w:val="TableNormal"/>
    <w:uiPriority w:val="39"/>
    <w:rsid w:val="00EB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06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76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5E8B-E13C-4AB4-AE15-F9F0AEC1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6</cp:revision>
  <dcterms:created xsi:type="dcterms:W3CDTF">2020-04-23T20:10:00Z</dcterms:created>
  <dcterms:modified xsi:type="dcterms:W3CDTF">2020-04-24T09:40:00Z</dcterms:modified>
</cp:coreProperties>
</file>