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Style w:val="5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Style w:val="5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Ogunniyi bukola </w:t>
      </w:r>
    </w:p>
    <w:p>
      <w:pPr>
        <w:spacing w:line="360" w:lineRule="auto"/>
        <w:rPr>
          <w:color w:val="333333"/>
        </w:rPr>
      </w:pPr>
      <w:r>
        <w:rPr>
          <w:rStyle w:val="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MATRIC NUMBER: 16/MHS02/03</w:t>
      </w:r>
      <w:r>
        <w:rPr>
          <w:rStyle w:val="5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3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MANAGEMENT OF CARDIAC ARREST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Cardiac arrest requires immediate action for patient’s survival. It is treated as an emergency which requires a rapid response. 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cardiopulmonary resuscitation is done to restore flow of oxygenated blood to vital organs.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Loosen tight clothing around the chest and waist.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patient in a flat surface and tilt the head to the back 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off secretions from the upper respiratory tracts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ambu bag is available, oxygen should be delivered 4-6 litres per minute 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ambu bag; artificial respiration, mouth-to-mouth respiration to deliver oxygen to the alveoli of the lungs.</w:t>
      </w:r>
    </w:p>
    <w:p>
      <w:pPr>
        <w:pStyle w:val="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Start CPR immediately </w:t>
      </w:r>
    </w:p>
    <w:p>
      <w:pPr>
        <w:pStyle w:val="7"/>
        <w:numPr>
          <w:ilvl w:val="0"/>
          <w:numId w:val="1"/>
        </w:numPr>
        <w:spacing w:line="360" w:lineRule="auto"/>
        <w:rPr>
          <w:b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>If there is a defibrillator, deliver one shock before carrying out CPR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color w:val="333333"/>
        </w:rPr>
      </w:pPr>
    </w:p>
    <w:p>
      <w:pPr>
        <w:pStyle w:val="2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rFonts w:ascii="Times New Roman" w:hAnsi="Times New Roman" w:eastAsia="Times New Roman" w:cs="Times New Roman"/>
          <w:color w:val="111111"/>
          <w:sz w:val="24"/>
          <w:szCs w:val="24"/>
        </w:rPr>
      </w:pPr>
      <w:r>
        <w:rPr>
          <w:b/>
          <w:color w:val="333333"/>
        </w:rPr>
        <w:t>MANAGEMENT OF CARBON MONOXIDE POISONING</w:t>
      </w:r>
      <w:bookmarkStart w:id="0" w:name="_GoBack"/>
      <w:bookmarkEnd w:id="0"/>
    </w:p>
    <w:p>
      <w:pPr>
        <w:pStyle w:val="8"/>
        <w:spacing w:line="360" w:lineRule="auto"/>
        <w:rPr>
          <w:rFonts w:ascii="Times New Roman" w:hAnsi="Times New Roman" w:eastAsia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ASSESSMENT OF PATIENT WITH CARBONMOOXIDE POISONING</w:t>
      </w:r>
    </w:p>
    <w:p>
      <w:pPr>
        <w:pStyle w:val="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airway and breathing for</w:t>
      </w:r>
    </w:p>
    <w:p>
      <w:pPr>
        <w:pStyle w:val="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–If the carbon monoxide poisoning is due to smoke inhalation, stridor (indicative of laryngeal edema due to thermal injury) may be present.</w:t>
      </w:r>
    </w:p>
    <w:p>
      <w:pPr>
        <w:pStyle w:val="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-Respiratory depression may be present. 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B3835"/>
          <w:sz w:val="24"/>
          <w:szCs w:val="24"/>
        </w:rPr>
        <w:t>PRIMARY INTERVENTIONS</w:t>
      </w:r>
    </w:p>
    <w:p>
      <w:pPr>
        <w:pStyle w:val="7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Provide 100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% oxygen by tight-fitting mask</w:t>
      </w:r>
    </w:p>
    <w:p>
      <w:pPr>
        <w:pStyle w:val="7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 xml:space="preserve">The elimination half-life of 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carboxyhemoglobin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, in serum, for a person breathing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 xml:space="preserve"> room air is 5 hours 20 minutes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 xml:space="preserve"> </w:t>
      </w:r>
    </w:p>
    <w:p>
      <w:pPr>
        <w:pStyle w:val="7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If the patient breathes 100% oxygen, the half-life is reduced to 80 minutes</w:t>
      </w:r>
    </w:p>
    <w:p>
      <w:pPr>
        <w:pStyle w:val="7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100% oxygen in a hyperbaric chamber will reduce the half-life to 2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3 minutes [treatment of choice</w:t>
      </w:r>
    </w:p>
    <w:p>
      <w:pPr>
        <w:pStyle w:val="7"/>
        <w:numPr>
          <w:ilvl w:val="0"/>
          <w:numId w:val="2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Intubate, if necessary, to protect the airway.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3B3835"/>
          <w:sz w:val="24"/>
          <w:szCs w:val="24"/>
        </w:rPr>
        <w:t>GENERAL INTERVENTIONS</w:t>
      </w:r>
    </w:p>
    <w:p>
      <w:p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History of exposure to carbon monoxide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 xml:space="preserve"> justifies immediate treatment.</w:t>
      </w:r>
    </w:p>
    <w:p>
      <w:p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GOALS: to reverse cerebral and myocardial hypoxia and haste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n carbon monoxide elimination.</w:t>
      </w:r>
    </w:p>
    <w:p>
      <w:pPr>
        <w:pStyle w:val="7"/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Give 100% oxygen at atmospheric or hyperbaric pressures to reverse hypoxia and accelerate elimination of carbon monoxide</w:t>
      </w:r>
    </w:p>
    <w:p>
      <w:pPr>
        <w:pStyle w:val="7"/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Patients should receive hyperbaric oxygen for CNS or car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diovascular system dysfunction.</w:t>
      </w:r>
    </w:p>
    <w:p>
      <w:pPr>
        <w:pStyle w:val="7"/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 xml:space="preserve">Use continuous ECG monitoring, treat dysrhythmias, and correct acid-base </w:t>
      </w: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and electrolyte abnormalities.</w:t>
      </w:r>
    </w:p>
    <w:p>
      <w:pPr>
        <w:pStyle w:val="7"/>
        <w:numPr>
          <w:ilvl w:val="0"/>
          <w:numId w:val="3"/>
        </w:numPr>
        <w:spacing w:after="0" w:line="360" w:lineRule="auto"/>
        <w:rPr>
          <w:rFonts w:ascii="Times New Roman" w:hAnsi="Times New Roman" w:eastAsia="Times New Roman" w:cs="Times New Roman"/>
          <w:color w:val="3B3835"/>
          <w:sz w:val="24"/>
          <w:szCs w:val="24"/>
        </w:rPr>
      </w:pPr>
      <w:r>
        <w:rPr>
          <w:rFonts w:ascii="Times New Roman" w:hAnsi="Times New Roman" w:eastAsia="Times New Roman" w:cs="Times New Roman"/>
          <w:color w:val="3B3835"/>
          <w:sz w:val="24"/>
          <w:szCs w:val="24"/>
        </w:rPr>
        <w:t>Observe the patient constantly—psychoses, spastic paralysis, vision disturbances, and deterioration of personality may persist after resuscitation and may be symptoms of permanent CNS damage.</w:t>
      </w:r>
    </w:p>
    <w:p>
      <w:pPr>
        <w:pStyle w:val="2"/>
        <w:shd w:val="clear" w:color="auto" w:fill="FFFFFF"/>
        <w:spacing w:before="0" w:beforeAutospacing="0" w:after="150" w:afterAutospacing="0" w:line="360" w:lineRule="auto"/>
        <w:ind w:left="360"/>
        <w:jc w:val="center"/>
        <w:rPr>
          <w:b/>
          <w:color w:val="333333"/>
        </w:rPr>
      </w:pPr>
      <w:r>
        <w:rPr>
          <w:b/>
          <w:color w:val="333333"/>
        </w:rPr>
        <w:t>MANAGEMENT OF EPISTAXIS</w:t>
      </w:r>
    </w:p>
    <w:p>
      <w:pPr>
        <w:pStyle w:val="7"/>
        <w:numPr>
          <w:ilvl w:val="0"/>
          <w:numId w:val="4"/>
        </w:numPr>
        <w:spacing w:line="360" w:lineRule="auto"/>
      </w:pPr>
      <w:r>
        <w:t xml:space="preserve">Initial management includes compression of the nostrils (application of direct pressure to the septal area) and plugging of the affected nostril with gauze or cotton that has been soaked in a topical decongestant. </w:t>
      </w:r>
    </w:p>
    <w:p>
      <w:pPr>
        <w:pStyle w:val="7"/>
        <w:numPr>
          <w:ilvl w:val="0"/>
          <w:numId w:val="4"/>
        </w:numPr>
        <w:spacing w:line="360" w:lineRule="auto"/>
      </w:pPr>
      <w:r>
        <w:t xml:space="preserve">Direct pressure should be applied continuously for at least five minutes, and for up to 20 minutes. </w:t>
      </w:r>
    </w:p>
    <w:p>
      <w:pPr>
        <w:pStyle w:val="7"/>
        <w:numPr>
          <w:ilvl w:val="0"/>
          <w:numId w:val="4"/>
        </w:numPr>
        <w:spacing w:line="360" w:lineRule="auto"/>
      </w:pPr>
      <w:r>
        <w:t xml:space="preserve">Tilting the head forward prevents blood from pooling in the posterior pharynx, thereby avoiding nausea and airway obstruction. </w:t>
      </w:r>
    </w:p>
    <w:p>
      <w:pPr>
        <w:pStyle w:val="7"/>
        <w:numPr>
          <w:ilvl w:val="0"/>
          <w:numId w:val="4"/>
        </w:numPr>
        <w:spacing w:line="360" w:lineRule="auto"/>
      </w:pPr>
      <w:r>
        <w:t xml:space="preserve">Hemodynamic stability and airway </w:t>
      </w:r>
      <w:r>
        <w:rPr>
          <w:lang w:val="en-US"/>
        </w:rPr>
        <w:t xml:space="preserve">patency </w:t>
      </w:r>
      <w:r>
        <w:t>should be co</w:t>
      </w:r>
      <w:r>
        <w:rPr>
          <w:lang w:val="en-US"/>
        </w:rPr>
        <w:t>n</w:t>
      </w:r>
      <w:r>
        <w:t xml:space="preserve">firmed. </w:t>
      </w:r>
    </w:p>
    <w:p>
      <w:pPr>
        <w:pStyle w:val="7"/>
        <w:numPr>
          <w:ilvl w:val="0"/>
          <w:numId w:val="4"/>
        </w:numPr>
        <w:spacing w:line="360" w:lineRule="auto"/>
      </w:pPr>
      <w:r>
        <w:t xml:space="preserve">Fluid resuscitation should be initiated if volume depletion is suspected. </w:t>
      </w:r>
    </w:p>
    <w:p>
      <w:pPr>
        <w:pStyle w:val="7"/>
        <w:numPr>
          <w:ilvl w:val="0"/>
          <w:numId w:val="4"/>
        </w:numPr>
        <w:spacing w:line="360" w:lineRule="auto"/>
      </w:pPr>
      <w:r>
        <w:t xml:space="preserve">Every attempt should be made to locate the source of bleeding that does not respond to simple compression and nasal plugging. </w:t>
      </w:r>
    </w:p>
    <w:p>
      <w:pPr>
        <w:pStyle w:val="7"/>
        <w:numPr>
          <w:ilvl w:val="0"/>
          <w:numId w:val="4"/>
        </w:numPr>
        <w:spacing w:line="360" w:lineRule="auto"/>
      </w:pPr>
      <w:r>
        <w:t>The examination should be performed in a well-lighted room, with the patient seated and clothing protected by a sheet or gown.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MANAGEMENT OF FOR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EIGN BODY IN THE EYE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 Reassure the patient and relatives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 Wash your hands with soap and water.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 Seat the person in a well-lighted area.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 Gently examine the eye to find the object. Pull the lower lid down and ask the person to look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up. Then hold the upper lid while the person looks down.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 If the object is floating in the tear film on the surface of the eye, try using a medicine dropper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filled with clean, warm water to flush it out. Or tilt the head back and irrigate the surface of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the eye with clean water from a drinking glass or a gentle stream of tap water.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Caution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Don't try to remove an object that's embedded in the eye.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Don't rub the eye.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Don't try to remove a large object that appears to be embedded in the eye or is sticking out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between the lids.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When to seek emergency care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Get immediate medical help if: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You can't remove the object with simple irrigation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The object is embedded in the eye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The person with the object in the eye is experiencing abnormal vision</w:t>
      </w:r>
    </w:p>
    <w:p>
      <w:pPr>
        <w:widowControl/>
        <w:spacing w:beforeAutospacing="0" w:after="120" w:afterAutospacing="0" w:line="36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Pain, redness or the sensation of an object in the eye persists after the object is removed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95"/>
    <w:multiLevelType w:val="multilevel"/>
    <w:tmpl w:val="0FEB62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F98"/>
    <w:multiLevelType w:val="multilevel"/>
    <w:tmpl w:val="114C4F9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F7B"/>
    <w:multiLevelType w:val="multilevel"/>
    <w:tmpl w:val="48CD2F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082F"/>
    <w:multiLevelType w:val="multilevel"/>
    <w:tmpl w:val="6FF308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870</Words>
  <Characters>4963</Characters>
  <Lines>41</Lines>
  <Paragraphs>11</Paragraphs>
  <ScaleCrop>false</ScaleCrop>
  <LinksUpToDate>false</LinksUpToDate>
  <CharactersWithSpaces>5822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2020-04-18T16:21:00Z</dcterms:created>
  <dc:creator>Emmanuel Okegbe</dc:creator>
  <cp:lastModifiedBy>Bukola’s iPhone</cp:lastModifiedBy>
  <dcterms:modified xsi:type="dcterms:W3CDTF">2020-04-24T17:48:32Z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