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NAME: OGOLOGO MARK-SOLOMON CHUKWUBUZOR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MATRIC NO: 19/MHS11/101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COLLEGE: MEDICINE AND HEALTH SCIENCES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DEPARTMENT: PHARMACY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LEVEL: 100 LEVEL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COURSE: BIO 102</w:t>
      </w:r>
    </w:p>
    <w:p>
      <w:pPr>
        <w:pStyle w:val="style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>ASSIGNMENT ON PLANT DIVERSITY</w:t>
      </w:r>
    </w:p>
    <w:p>
      <w:pPr>
        <w:pStyle w:val="style179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Classification of plants according to Eichler’s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grouping</w:t>
      </w:r>
      <w:r>
        <w:rPr>
          <w:rFonts w:cs="Times New Roman"/>
          <w:sz w:val="28"/>
          <w:szCs w:val="28"/>
        </w:rPr>
        <w:t xml:space="preserve"> of 1883</w:t>
      </w:r>
      <w:r>
        <w:rPr>
          <w:rFonts w:cs="Times New Roman"/>
          <w:sz w:val="28"/>
          <w:szCs w:val="28"/>
        </w:rPr>
        <w:t>, we have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</w:p>
    <w:tbl>
      <w:tblPr>
        <w:tblStyle w:val="style154"/>
        <w:tblW w:w="9356" w:type="dxa"/>
        <w:tblInd w:w="720" w:type="dxa"/>
        <w:tblLook w:val="04A0" w:firstRow="1" w:lastRow="0" w:firstColumn="1" w:lastColumn="0" w:noHBand="0" w:noVBand="1"/>
      </w:tblPr>
      <w:tblGrid>
        <w:gridCol w:w="3347"/>
        <w:gridCol w:w="6009"/>
      </w:tblGrid>
      <w:tr>
        <w:trPr/>
        <w:tc>
          <w:tcPr>
            <w:tcW w:w="3347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DIVISION</w:t>
            </w:r>
          </w:p>
        </w:tc>
        <w:tc>
          <w:tcPr>
            <w:tcW w:w="600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CLASS</w:t>
            </w:r>
          </w:p>
        </w:tc>
      </w:tr>
      <w:tr>
        <w:tblPrEx/>
        <w:trPr/>
        <w:tc>
          <w:tcPr>
            <w:tcW w:w="3347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Thallophyta</w:t>
            </w:r>
          </w:p>
        </w:tc>
        <w:tc>
          <w:tcPr>
            <w:tcW w:w="600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Phycotinae(Algae)</w:t>
            </w:r>
          </w:p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Mycotinae(Fungi) </w:t>
            </w:r>
          </w:p>
        </w:tc>
      </w:tr>
      <w:tr>
        <w:tblPrEx/>
        <w:trPr/>
        <w:tc>
          <w:tcPr>
            <w:tcW w:w="3347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Bryophyta</w:t>
            </w:r>
          </w:p>
        </w:tc>
        <w:tc>
          <w:tcPr>
            <w:tcW w:w="600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Hepaticae(Liverworts)</w:t>
            </w:r>
          </w:p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Musci(Mosses)</w:t>
            </w:r>
          </w:p>
        </w:tc>
      </w:tr>
      <w:tr>
        <w:tblPrEx/>
        <w:trPr/>
        <w:tc>
          <w:tcPr>
            <w:tcW w:w="3347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Pteridophyta</w:t>
            </w:r>
          </w:p>
        </w:tc>
        <w:tc>
          <w:tcPr>
            <w:tcW w:w="600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Psilotinate(Psilotum)</w:t>
            </w:r>
          </w:p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sz w:val="28"/>
                <w:szCs w:val="28"/>
              </w:rPr>
              <w:t>Lycopodinae (Lycopodium, Selaginella)</w:t>
            </w:r>
          </w:p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Equisetinae(Horsetails)</w:t>
            </w:r>
          </w:p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Filicinae(Ferns)</w:t>
            </w:r>
          </w:p>
        </w:tc>
      </w:tr>
      <w:tr>
        <w:tblPrEx/>
        <w:trPr/>
        <w:tc>
          <w:tcPr>
            <w:tcW w:w="3347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Spermatophyta</w:t>
            </w:r>
          </w:p>
        </w:tc>
        <w:tc>
          <w:tcPr>
            <w:tcW w:w="600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Gymnospermae(Gymnosperms)</w:t>
            </w:r>
          </w:p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Angiospermae(Angiosperms)</w:t>
            </w:r>
          </w:p>
        </w:tc>
      </w:tr>
    </w:tbl>
    <w:p>
      <w:pPr>
        <w:pStyle w:val="style179"/>
        <w:rPr>
          <w:rFonts w:cs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Importance of Algae to man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(i). It acts as source of food for fish, livestock and people.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(ii). It is used as thickening agents in ice-cream and shampoo.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(iii). They have high iodine content and are used to prevent </w:t>
      </w:r>
      <w:r>
        <w:rPr>
          <w:rFonts w:cs="Times New Roman"/>
          <w:sz w:val="28"/>
          <w:szCs w:val="28"/>
        </w:rPr>
        <w:t>goitre</w:t>
      </w:r>
      <w:r>
        <w:rPr>
          <w:rFonts w:cs="Times New Roman"/>
          <w:sz w:val="28"/>
          <w:szCs w:val="28"/>
        </w:rPr>
        <w:t>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(iv). It yields agar which is used in the food industry to stabilize pie fillings and preserve canned foods.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(v). They are highly nutritious due to presence of high protein content and concentration of minerals.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(vi). Brown algae produces alginic acid which is used to stabilize emulsions and suspensions.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(vii). They contain special chemicals which help to cure and prevent illnesses. </w:t>
      </w:r>
    </w:p>
    <w:p>
      <w:pPr>
        <w:pStyle w:val="style179"/>
        <w:numPr>
          <w:ilvl w:val="0"/>
          <w:numId w:val="1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Unicellular form of Algae</w:t>
      </w:r>
    </w:p>
    <w:p>
      <w:pPr>
        <w:pStyle w:val="style179"/>
        <w:ind w:firstLine="15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This type of algae can also be referred to as Acellular algae. They have the </w:t>
      </w: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ability to function as a complete living organism. This is because they have they have the necessary organelles needed in order to survive. They may either be motile or non-motile.</w:t>
      </w:r>
      <w:r>
        <w:rPr>
          <w:rFonts w:cs="Times New Roman"/>
          <w:sz w:val="28"/>
          <w:szCs w:val="28"/>
        </w:rPr>
        <w:t xml:space="preserve"> All groups of algae have unicellular forms in common except Rhydophycaea, Phyaeophycaea and Charophycaea.</w:t>
      </w:r>
      <w:r>
        <w:rPr>
          <w:rFonts w:cs="Times New Roman"/>
          <w:sz w:val="28"/>
          <w:szCs w:val="28"/>
        </w:rPr>
        <w:t xml:space="preserve"> Taking </w:t>
      </w:r>
      <w:r>
        <w:rPr>
          <w:rFonts w:cs="Times New Roman"/>
          <w:b/>
          <w:i/>
          <w:sz w:val="28"/>
          <w:szCs w:val="28"/>
        </w:rPr>
        <w:t>Chlamy</w:t>
      </w:r>
      <w:r>
        <w:rPr>
          <w:rFonts w:cs="Times New Roman"/>
          <w:b/>
          <w:i/>
          <w:sz w:val="28"/>
          <w:szCs w:val="28"/>
        </w:rPr>
        <w:t>domonas</w:t>
      </w:r>
      <w:r>
        <w:rPr>
          <w:rFonts w:cs="Times New Roman"/>
          <w:sz w:val="28"/>
          <w:szCs w:val="28"/>
        </w:rPr>
        <w:t xml:space="preserve"> into consideration as a unicellular form of green algae, it is motile and use flagella as the structures for mobility. It contains organelles such as; nucleus, mitochondria, pyrenoid etc.</w:t>
      </w:r>
    </w:p>
    <w:p>
      <w:pPr>
        <w:pStyle w:val="style179"/>
        <w:numPr>
          <w:ilvl w:val="0"/>
          <w:numId w:val="1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Reproduction of Unicellular algae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In the unicellular form of algae mentioned above(</w:t>
      </w:r>
      <w:r>
        <w:rPr>
          <w:rFonts w:cs="Times New Roman"/>
          <w:i/>
          <w:sz w:val="28"/>
          <w:szCs w:val="28"/>
        </w:rPr>
        <w:t>Chlamydomonas</w:t>
      </w:r>
      <w:r>
        <w:rPr>
          <w:rFonts w:cs="Times New Roman"/>
          <w:sz w:val="28"/>
          <w:szCs w:val="28"/>
        </w:rPr>
        <w:t>),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reproduction may seem to be either vegetative(asexual) or sexual.</w:t>
      </w:r>
    </w:p>
    <w:p>
      <w:pPr>
        <w:pStyle w:val="style179"/>
        <w:rPr>
          <w:rFonts w:cs="Times New Roman"/>
          <w:b/>
          <w:sz w:val="28"/>
          <w:szCs w:val="28"/>
        </w:rPr>
      </w:pP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Vegetative reproduction </w:t>
      </w:r>
      <w:r>
        <w:rPr>
          <w:rFonts w:cs="Times New Roman"/>
          <w:sz w:val="28"/>
          <w:szCs w:val="28"/>
        </w:rPr>
        <w:t>is often called Binary fission</w:t>
      </w:r>
      <w:r>
        <w:rPr>
          <w:rFonts w:cs="Times New Roman"/>
          <w:sz w:val="28"/>
          <w:szCs w:val="28"/>
        </w:rPr>
        <w:t xml:space="preserve"> or Mitotic divisions</w:t>
      </w:r>
      <w:r>
        <w:rPr>
          <w:rFonts w:cs="Times New Roman"/>
          <w:sz w:val="28"/>
          <w:szCs w:val="28"/>
        </w:rPr>
        <w:t xml:space="preserve">. It is the </w:t>
      </w:r>
      <w:r>
        <w:rPr>
          <w:rFonts w:cs="Times New Roman"/>
          <w:sz w:val="28"/>
          <w:szCs w:val="28"/>
        </w:rPr>
        <w:t>simplest</w:t>
      </w:r>
      <w:r>
        <w:rPr>
          <w:rFonts w:cs="Times New Roman"/>
          <w:sz w:val="28"/>
          <w:szCs w:val="28"/>
        </w:rPr>
        <w:t xml:space="preserve"> method of reproduction for unicellular forms of algae. </w:t>
      </w:r>
      <w:r>
        <w:rPr>
          <w:rFonts w:cs="Times New Roman"/>
          <w:sz w:val="28"/>
          <w:szCs w:val="28"/>
        </w:rPr>
        <w:t>It involves the cell undergoing mitotic divisions leading to two nuclei, which results in the release of two daughter cells as new individuals. This is the asexual reproduction.</w:t>
      </w:r>
    </w:p>
    <w:p>
      <w:pPr>
        <w:pStyle w:val="style179"/>
        <w:rPr>
          <w:rFonts w:cs="Times New Roman"/>
          <w:sz w:val="28"/>
          <w:szCs w:val="28"/>
        </w:rPr>
      </w:pP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Sexual reproduction</w:t>
      </w:r>
      <w:r>
        <w:rPr>
          <w:rFonts w:cs="Times New Roman"/>
          <w:sz w:val="28"/>
          <w:szCs w:val="28"/>
        </w:rPr>
        <w:t xml:space="preserve"> of haploid cells</w:t>
      </w:r>
      <w:r>
        <w:rPr>
          <w:rFonts w:cs="Times New Roman"/>
          <w:sz w:val="28"/>
          <w:szCs w:val="28"/>
        </w:rPr>
        <w:t xml:space="preserve"> may occur due to environmental conditions e.g. lack of nutrients</w:t>
      </w:r>
      <w:r>
        <w:rPr>
          <w:rFonts w:cs="Times New Roman"/>
          <w:sz w:val="28"/>
          <w:szCs w:val="28"/>
        </w:rPr>
        <w:t xml:space="preserve">. Two cells of equal genetic material(n-haploid) come together and fuse to produce a gamete(2n-diploid). The zygote the undergoes two successive divisions, the first division restores the haploid condition leading to two nuclei </w:t>
      </w:r>
      <w:r>
        <w:rPr>
          <w:rFonts w:cs="Times New Roman"/>
          <w:sz w:val="28"/>
          <w:szCs w:val="28"/>
        </w:rPr>
        <w:t>and the second division each haploid nucleus undergoes another mitotic division. This produces four cells with equal n-quantity as that of the parent cells.</w:t>
      </w:r>
    </w:p>
    <w:p>
      <w:pPr>
        <w:pStyle w:val="style179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colonial forms of algae are;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(i). Pandorina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(ii). Volvox</w:t>
      </w:r>
    </w:p>
    <w:p>
      <w:pPr>
        <w:pStyle w:val="style179"/>
        <w:ind w:firstLine="72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Differences between Pandorina and Volvox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style154"/>
        <w:tblW w:w="9630" w:type="dxa"/>
        <w:tblInd w:w="85" w:type="dxa"/>
        <w:tblLook w:val="04A0" w:firstRow="1" w:lastRow="0" w:firstColumn="1" w:lastColumn="0" w:noHBand="0" w:noVBand="1"/>
      </w:tblPr>
      <w:tblGrid>
        <w:gridCol w:w="4919"/>
        <w:gridCol w:w="4711"/>
      </w:tblGrid>
      <w:tr>
        <w:trPr/>
        <w:tc>
          <w:tcPr>
            <w:tcW w:w="491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Pandorina</w:t>
            </w:r>
          </w:p>
        </w:tc>
        <w:tc>
          <w:tcPr>
            <w:tcW w:w="4711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Volvox</w:t>
            </w:r>
          </w:p>
        </w:tc>
      </w:tr>
      <w:tr>
        <w:tblPrEx/>
        <w:trPr/>
        <w:tc>
          <w:tcPr>
            <w:tcW w:w="491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(i). It has unicellular motile thallus.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It has multicellular motile thallus.</w:t>
            </w:r>
          </w:p>
        </w:tc>
      </w:tr>
      <w:tr>
        <w:tblPrEx/>
        <w:trPr/>
        <w:tc>
          <w:tcPr>
            <w:tcW w:w="491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(ii). It is a genus of green algae.</w:t>
            </w:r>
          </w:p>
        </w:tc>
        <w:tc>
          <w:tcPr>
            <w:tcW w:w="4711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It is a more complex form of Pandorina(also a genus of green algae).</w:t>
            </w:r>
          </w:p>
        </w:tc>
      </w:tr>
      <w:tr>
        <w:tblPrEx/>
        <w:trPr/>
        <w:tc>
          <w:tcPr>
            <w:tcW w:w="491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(iii). Sexual reproduction is Anisogamous.</w:t>
            </w:r>
          </w:p>
        </w:tc>
        <w:tc>
          <w:tcPr>
            <w:tcW w:w="4711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Sexual reproduction is Oogamous.</w:t>
            </w:r>
          </w:p>
        </w:tc>
      </w:tr>
      <w:tr>
        <w:tblPrEx/>
        <w:trPr/>
        <w:tc>
          <w:tcPr>
            <w:tcW w:w="4919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(iv). It may contain 16 cells in the colony.</w:t>
            </w:r>
          </w:p>
        </w:tc>
        <w:tc>
          <w:tcPr>
            <w:tcW w:w="4711" w:type="dxa"/>
            <w:tcBorders/>
          </w:tcPr>
          <w:p>
            <w:pPr>
              <w:pStyle w:val="style179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Its number of cells may run into thousands.</w:t>
            </w:r>
          </w:p>
        </w:tc>
      </w:tr>
    </w:tbl>
    <w:p>
      <w:pPr>
        <w:pStyle w:val="style179"/>
        <w:rPr>
          <w:rFonts w:cs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Complex form of Algae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In these set of plant bodies, their cells are differentiated to perform </w:t>
      </w:r>
      <w:r>
        <w:rPr>
          <w:rFonts w:cs="Times New Roman"/>
          <w:sz w:val="28"/>
          <w:szCs w:val="28"/>
        </w:rPr>
        <w:t xml:space="preserve">various functions. They possess more massive bodies and organs for a particular function. </w:t>
      </w:r>
      <w:r>
        <w:rPr>
          <w:rFonts w:cs="Times New Roman"/>
          <w:sz w:val="28"/>
          <w:szCs w:val="28"/>
        </w:rPr>
        <w:t xml:space="preserve">Under this form of algae, we would consider a genus of brown algae known as </w:t>
      </w:r>
      <w:r>
        <w:rPr>
          <w:rFonts w:cs="Times New Roman"/>
          <w:b/>
          <w:i/>
          <w:sz w:val="28"/>
          <w:szCs w:val="28"/>
        </w:rPr>
        <w:t>Fucus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style179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b/>
          <w:i/>
          <w:sz w:val="28"/>
          <w:szCs w:val="28"/>
        </w:rPr>
        <w:t>Fucus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It is a genus of brown algae whose species are often found on rocks in the intertidal zones of the sea shores. The body of the plant is flattened, dichotomously-branched thallus with a mid-rib, </w:t>
      </w:r>
      <w:r>
        <w:rPr>
          <w:rFonts w:cs="Times New Roman"/>
          <w:sz w:val="28"/>
          <w:szCs w:val="28"/>
        </w:rPr>
        <w:t xml:space="preserve">a vegetative apex and a multicellular disk with which plant is attached to a rock surface. The body has air bladders which is believed to aid the plant to float on the water. It varies in size from a few centimetres to about 2-metres in length. </w:t>
      </w:r>
      <w:r>
        <w:rPr>
          <w:rFonts w:cs="Times New Roman"/>
          <w:sz w:val="28"/>
          <w:szCs w:val="28"/>
        </w:rPr>
        <w:t>They also vary in terms of whether the sex cells are found in the same sexual chamber or in different sexual chambers on different plant bodies.</w:t>
      </w: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Sexual reproduction is Oogamous, and the sex cells are produced in the conceptacles which have openings (ostioles) on the surface of the thallus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style0"/>
        <w:rPr>
          <w:rFonts w:cs="Times New Roman"/>
          <w:sz w:val="28"/>
          <w:szCs w:val="28"/>
        </w:rPr>
      </w:pP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style179"/>
        <w:rPr>
          <w:rFonts w:cs="Times New Roman"/>
          <w:sz w:val="28"/>
          <w:szCs w:val="28"/>
        </w:rPr>
      </w:pPr>
    </w:p>
    <w:p>
      <w:pPr>
        <w:pStyle w:val="style17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>
      <w:pPr>
        <w:pStyle w:val="style179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BE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Words>640</Words>
  <Pages>3</Pages>
  <Characters>3564</Characters>
  <Application>WPS Office</Application>
  <DocSecurity>0</DocSecurity>
  <Paragraphs>79</Paragraphs>
  <ScaleCrop>false</ScaleCrop>
  <LinksUpToDate>false</LinksUpToDate>
  <CharactersWithSpaces>4404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2020-04-24T22:02:00Z</dcterms:created>
  <dc:creator>sunny</dc:creator>
  <lastModifiedBy>SM-A205F</lastModifiedBy>
  <dcterms:modified xsi:type="dcterms:W3CDTF">2020-04-24T17:59:38Z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