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9D" w:rsidRDefault="00F1699D">
      <w:r>
        <w:t xml:space="preserve">Name: </w:t>
      </w:r>
      <w:proofErr w:type="spellStart"/>
      <w:r>
        <w:t>Eraga</w:t>
      </w:r>
      <w:proofErr w:type="spellEnd"/>
      <w:r>
        <w:t xml:space="preserve"> </w:t>
      </w:r>
      <w:proofErr w:type="spellStart"/>
      <w:r>
        <w:t>Concepta</w:t>
      </w:r>
      <w:proofErr w:type="spellEnd"/>
      <w:r>
        <w:t xml:space="preserve"> </w:t>
      </w:r>
    </w:p>
    <w:p w:rsidR="00F1699D" w:rsidRDefault="00F1699D">
      <w:r>
        <w:t>Matric number: 17/mhs01/120</w:t>
      </w:r>
    </w:p>
    <w:p w:rsidR="00F1699D" w:rsidRDefault="00F1699D">
      <w:r w:rsidRPr="00F1699D">
        <w:rPr>
          <w:b/>
          <w:u w:val="single"/>
        </w:rPr>
        <w:t>Assignmen</w:t>
      </w:r>
      <w:r>
        <w:t xml:space="preserve">t: classify the antimalarial agents and state the mechanism of action of each class of drug listed. </w:t>
      </w:r>
    </w:p>
    <w:p w:rsidR="00F1699D" w:rsidRDefault="00F1699D" w:rsidP="003E68C8">
      <w:pPr>
        <w:pStyle w:val="ListParagraph"/>
        <w:numPr>
          <w:ilvl w:val="0"/>
          <w:numId w:val="17"/>
        </w:numPr>
      </w:pPr>
      <w:r>
        <w:t>CHLOROQUINE</w:t>
      </w:r>
    </w:p>
    <w:p w:rsidR="00F1699D" w:rsidRPr="00F1699D" w:rsidRDefault="00F1699D" w:rsidP="00F1699D">
      <w:r w:rsidRPr="00F1699D">
        <w:rPr>
          <w:b/>
          <w:bCs/>
          <w:lang w:val="en-IN"/>
        </w:rPr>
        <w:t>Mechanism of action:</w:t>
      </w:r>
    </w:p>
    <w:p w:rsidR="00A3268B" w:rsidRPr="00C42A03" w:rsidRDefault="00A35032" w:rsidP="00F1699D">
      <w:pPr>
        <w:numPr>
          <w:ilvl w:val="0"/>
          <w:numId w:val="2"/>
        </w:numPr>
      </w:pPr>
      <w:r w:rsidRPr="00C42A03">
        <w:rPr>
          <w:lang w:val="en-IN"/>
        </w:rPr>
        <w:t xml:space="preserve">It is </w:t>
      </w:r>
      <w:r w:rsidRPr="00C42A03">
        <w:rPr>
          <w:bCs/>
          <w:lang w:val="en-IN"/>
        </w:rPr>
        <w:t>actively</w:t>
      </w:r>
      <w:r w:rsidRPr="00C42A03">
        <w:rPr>
          <w:lang w:val="en-IN"/>
        </w:rPr>
        <w:t xml:space="preserve"> </w:t>
      </w:r>
      <w:r w:rsidRPr="00C42A03">
        <w:rPr>
          <w:bCs/>
          <w:lang w:val="en-IN"/>
        </w:rPr>
        <w:t>concentrated</w:t>
      </w:r>
      <w:r w:rsidRPr="00C42A03">
        <w:rPr>
          <w:lang w:val="en-IN"/>
        </w:rPr>
        <w:t xml:space="preserve"> by </w:t>
      </w:r>
      <w:r w:rsidRPr="00C42A03">
        <w:rPr>
          <w:bCs/>
          <w:lang w:val="en-IN"/>
        </w:rPr>
        <w:t>sensitive</w:t>
      </w:r>
      <w:r w:rsidRPr="00C42A03">
        <w:rPr>
          <w:lang w:val="en-IN"/>
        </w:rPr>
        <w:t xml:space="preserve"> </w:t>
      </w:r>
      <w:r w:rsidRPr="00C42A03">
        <w:rPr>
          <w:bCs/>
          <w:lang w:val="en-IN"/>
        </w:rPr>
        <w:t>intra-</w:t>
      </w:r>
      <w:proofErr w:type="spellStart"/>
      <w:r w:rsidRPr="00C42A03">
        <w:rPr>
          <w:bCs/>
          <w:lang w:val="en-IN"/>
        </w:rPr>
        <w:t>erythrocytic</w:t>
      </w:r>
      <w:proofErr w:type="spellEnd"/>
      <w:r w:rsidRPr="00C42A03">
        <w:rPr>
          <w:bCs/>
          <w:lang w:val="en-IN"/>
        </w:rPr>
        <w:t xml:space="preserve"> plasmodia </w:t>
      </w:r>
      <w:r w:rsidRPr="00C42A03">
        <w:rPr>
          <w:lang w:val="en-IN"/>
        </w:rPr>
        <w:t xml:space="preserve">by accumulating in the acidic vesicles of the parasite and weakly </w:t>
      </w:r>
      <w:r w:rsidRPr="00C42A03">
        <w:rPr>
          <w:bCs/>
          <w:lang w:val="en-IN"/>
        </w:rPr>
        <w:t>basic</w:t>
      </w:r>
      <w:r w:rsidRPr="00C42A03">
        <w:rPr>
          <w:lang w:val="en-IN"/>
        </w:rPr>
        <w:t xml:space="preserve"> nature it raises the vesicular </w:t>
      </w:r>
      <w:r w:rsidRPr="00C42A03">
        <w:rPr>
          <w:bCs/>
          <w:lang w:val="en-IN"/>
        </w:rPr>
        <w:t>pH</w:t>
      </w:r>
      <w:r w:rsidRPr="00C42A03">
        <w:rPr>
          <w:lang w:val="en-IN"/>
        </w:rPr>
        <w:t xml:space="preserve"> and thereby </w:t>
      </w:r>
      <w:r w:rsidRPr="00C42A03">
        <w:rPr>
          <w:bCs/>
          <w:lang w:val="en-IN"/>
        </w:rPr>
        <w:t>interferes</w:t>
      </w:r>
      <w:r w:rsidRPr="00C42A03">
        <w:rPr>
          <w:lang w:val="en-IN"/>
        </w:rPr>
        <w:t xml:space="preserve"> with degradation of </w:t>
      </w:r>
      <w:r w:rsidRPr="00C42A03">
        <w:rPr>
          <w:bCs/>
          <w:lang w:val="en-IN"/>
        </w:rPr>
        <w:t>haemoglobin</w:t>
      </w:r>
      <w:r w:rsidRPr="00C42A03">
        <w:rPr>
          <w:lang w:val="en-IN"/>
        </w:rPr>
        <w:t xml:space="preserve"> by </w:t>
      </w:r>
      <w:r w:rsidRPr="00C42A03">
        <w:rPr>
          <w:bCs/>
          <w:lang w:val="en-IN"/>
        </w:rPr>
        <w:t>parasitic</w:t>
      </w:r>
      <w:r w:rsidRPr="00C42A03">
        <w:rPr>
          <w:lang w:val="en-IN"/>
        </w:rPr>
        <w:t xml:space="preserve"> </w:t>
      </w:r>
      <w:r w:rsidRPr="00C42A03">
        <w:rPr>
          <w:bCs/>
          <w:lang w:val="en-IN"/>
        </w:rPr>
        <w:t>lysosomes</w:t>
      </w:r>
    </w:p>
    <w:p w:rsidR="00A3268B" w:rsidRPr="00C42A03" w:rsidRDefault="00A35032" w:rsidP="00F1699D">
      <w:pPr>
        <w:numPr>
          <w:ilvl w:val="0"/>
          <w:numId w:val="2"/>
        </w:numPr>
      </w:pPr>
      <w:r w:rsidRPr="00C42A03">
        <w:rPr>
          <w:lang w:val="en-IN"/>
        </w:rPr>
        <w:t xml:space="preserve">Polymerization of </w:t>
      </w:r>
      <w:r w:rsidRPr="00C42A03">
        <w:rPr>
          <w:bCs/>
          <w:lang w:val="en-IN"/>
        </w:rPr>
        <w:t xml:space="preserve">toxic </w:t>
      </w:r>
      <w:proofErr w:type="spellStart"/>
      <w:r w:rsidRPr="00C42A03">
        <w:rPr>
          <w:bCs/>
          <w:lang w:val="en-IN"/>
        </w:rPr>
        <w:t>haeme</w:t>
      </w:r>
      <w:proofErr w:type="spellEnd"/>
      <w:r w:rsidRPr="00C42A03">
        <w:rPr>
          <w:bCs/>
          <w:lang w:val="en-IN"/>
        </w:rPr>
        <w:t xml:space="preserve"> to nontoxic </w:t>
      </w:r>
      <w:r w:rsidRPr="00C42A03">
        <w:rPr>
          <w:lang w:val="en-IN"/>
        </w:rPr>
        <w:t xml:space="preserve">parasite pigment </w:t>
      </w:r>
      <w:proofErr w:type="spellStart"/>
      <w:r w:rsidRPr="00C42A03">
        <w:rPr>
          <w:bCs/>
          <w:lang w:val="en-IN"/>
        </w:rPr>
        <w:t>hemozoin</w:t>
      </w:r>
      <w:proofErr w:type="spellEnd"/>
      <w:r w:rsidRPr="00C42A03">
        <w:rPr>
          <w:lang w:val="en-IN"/>
        </w:rPr>
        <w:t xml:space="preserve"> is inhibited by formation of </w:t>
      </w:r>
      <w:proofErr w:type="spellStart"/>
      <w:r w:rsidRPr="00C42A03">
        <w:rPr>
          <w:bCs/>
          <w:lang w:val="en-IN"/>
        </w:rPr>
        <w:t>chloroquine-heme</w:t>
      </w:r>
      <w:proofErr w:type="spellEnd"/>
      <w:r w:rsidRPr="00C42A03">
        <w:rPr>
          <w:bCs/>
          <w:lang w:val="en-IN"/>
        </w:rPr>
        <w:t xml:space="preserve"> </w:t>
      </w:r>
      <w:r w:rsidRPr="00C42A03">
        <w:rPr>
          <w:lang w:val="en-IN"/>
        </w:rPr>
        <w:t>complex</w:t>
      </w:r>
      <w:r w:rsidR="00F1699D" w:rsidRPr="00C42A03">
        <w:rPr>
          <w:lang w:val="en-IN"/>
        </w:rPr>
        <w:t xml:space="preserve">. </w:t>
      </w:r>
      <w:proofErr w:type="spellStart"/>
      <w:r w:rsidRPr="00C42A03">
        <w:rPr>
          <w:bCs/>
          <w:lang w:val="en-IN"/>
        </w:rPr>
        <w:t>Haeme</w:t>
      </w:r>
      <w:proofErr w:type="spellEnd"/>
      <w:r w:rsidRPr="00C42A03">
        <w:rPr>
          <w:lang w:val="en-IN"/>
        </w:rPr>
        <w:t xml:space="preserve"> itself or its </w:t>
      </w:r>
      <w:r w:rsidRPr="00C42A03">
        <w:rPr>
          <w:bCs/>
          <w:lang w:val="en-IN"/>
        </w:rPr>
        <w:t>complex</w:t>
      </w:r>
      <w:r w:rsidRPr="00C42A03">
        <w:rPr>
          <w:lang w:val="en-IN"/>
        </w:rPr>
        <w:t xml:space="preserve"> with </w:t>
      </w:r>
      <w:proofErr w:type="spellStart"/>
      <w:r w:rsidRPr="00C42A03">
        <w:rPr>
          <w:lang w:val="en-IN"/>
        </w:rPr>
        <w:t>chloroquine</w:t>
      </w:r>
      <w:proofErr w:type="spellEnd"/>
      <w:r w:rsidRPr="00C42A03">
        <w:rPr>
          <w:lang w:val="en-IN"/>
        </w:rPr>
        <w:t xml:space="preserve"> then </w:t>
      </w:r>
      <w:r w:rsidRPr="00C42A03">
        <w:rPr>
          <w:bCs/>
          <w:lang w:val="en-IN"/>
        </w:rPr>
        <w:t>damages</w:t>
      </w:r>
      <w:r w:rsidRPr="00C42A03">
        <w:rPr>
          <w:lang w:val="en-IN"/>
        </w:rPr>
        <w:t xml:space="preserve"> the </w:t>
      </w:r>
      <w:proofErr w:type="spellStart"/>
      <w:r w:rsidRPr="00C42A03">
        <w:rPr>
          <w:bCs/>
          <w:lang w:val="en-IN"/>
        </w:rPr>
        <w:t>plasmodial</w:t>
      </w:r>
      <w:proofErr w:type="spellEnd"/>
      <w:r w:rsidRPr="00C42A03">
        <w:rPr>
          <w:bCs/>
          <w:lang w:val="en-IN"/>
        </w:rPr>
        <w:t xml:space="preserve"> membranes</w:t>
      </w:r>
      <w:r w:rsidRPr="00C42A03">
        <w:rPr>
          <w:lang w:val="en-IN"/>
        </w:rPr>
        <w:t xml:space="preserve">. </w:t>
      </w:r>
      <w:r w:rsidRPr="00C42A03">
        <w:rPr>
          <w:bCs/>
          <w:lang w:val="en-IN"/>
        </w:rPr>
        <w:t>Clumping</w:t>
      </w:r>
      <w:r w:rsidRPr="00C42A03">
        <w:rPr>
          <w:lang w:val="en-IN"/>
        </w:rPr>
        <w:t xml:space="preserve"> of pigment and </w:t>
      </w:r>
      <w:r w:rsidRPr="00C42A03">
        <w:rPr>
          <w:bCs/>
          <w:lang w:val="en-IN"/>
        </w:rPr>
        <w:t xml:space="preserve">changes in </w:t>
      </w:r>
      <w:r w:rsidR="00F1699D" w:rsidRPr="00C42A03">
        <w:rPr>
          <w:bCs/>
          <w:lang w:val="en-IN"/>
        </w:rPr>
        <w:t>parasite membranes follow: death.</w:t>
      </w:r>
    </w:p>
    <w:p w:rsidR="00F1699D" w:rsidRPr="00F1699D" w:rsidRDefault="00065AD9" w:rsidP="003E68C8">
      <w:pPr>
        <w:pStyle w:val="ListParagraph"/>
        <w:numPr>
          <w:ilvl w:val="0"/>
          <w:numId w:val="17"/>
        </w:numPr>
      </w:pPr>
      <w:r w:rsidRPr="003E68C8">
        <w:rPr>
          <w:bCs/>
          <w:lang w:val="en-IN"/>
        </w:rPr>
        <w:t>AMODIAQUINE</w:t>
      </w:r>
    </w:p>
    <w:p w:rsidR="00C42A03" w:rsidRPr="00C42A03" w:rsidRDefault="00C42A03" w:rsidP="00C42A03">
      <w:r w:rsidRPr="00C42A03">
        <w:rPr>
          <w:b/>
        </w:rPr>
        <w:t xml:space="preserve">Mechanism of action: </w:t>
      </w:r>
    </w:p>
    <w:p w:rsidR="00C42A03" w:rsidRDefault="00C42A03" w:rsidP="00C42A03">
      <w:pPr>
        <w:pStyle w:val="ListParagraph"/>
        <w:numPr>
          <w:ilvl w:val="0"/>
          <w:numId w:val="4"/>
        </w:numPr>
      </w:pPr>
      <w:r>
        <w:rPr>
          <w:b/>
        </w:rPr>
        <w:t xml:space="preserve"> </w:t>
      </w:r>
      <w:r w:rsidRPr="00C42A03">
        <w:t xml:space="preserve">It is thought to inhibit </w:t>
      </w:r>
      <w:proofErr w:type="spellStart"/>
      <w:r w:rsidRPr="00C42A03">
        <w:t>heme</w:t>
      </w:r>
      <w:proofErr w:type="spellEnd"/>
      <w:r w:rsidRPr="00C42A03">
        <w:t xml:space="preserve"> polymerase activity. This result in accumulati0on of free </w:t>
      </w:r>
      <w:proofErr w:type="spellStart"/>
      <w:r w:rsidRPr="00C42A03">
        <w:t>heme</w:t>
      </w:r>
      <w:proofErr w:type="spellEnd"/>
      <w:r w:rsidRPr="00C42A03">
        <w:t xml:space="preserve">, which </w:t>
      </w:r>
      <w:r w:rsidR="00065AD9">
        <w:t>i</w:t>
      </w:r>
      <w:r w:rsidRPr="00C42A03">
        <w:t xml:space="preserve">s toxic to the parasite. The drug binds the free </w:t>
      </w:r>
      <w:proofErr w:type="spellStart"/>
      <w:r w:rsidRPr="00C42A03">
        <w:t>heme</w:t>
      </w:r>
      <w:proofErr w:type="spellEnd"/>
      <w:r w:rsidRPr="00C42A03">
        <w:t xml:space="preserve"> preventing the parasite from converting it to a form less toxic. This drug </w:t>
      </w:r>
      <w:proofErr w:type="spellStart"/>
      <w:r w:rsidRPr="00C42A03">
        <w:t>heme</w:t>
      </w:r>
      <w:proofErr w:type="spellEnd"/>
      <w:r w:rsidRPr="00C42A03">
        <w:t xml:space="preserve"> complex is toxic and disrupts membrane function.</w:t>
      </w:r>
    </w:p>
    <w:p w:rsidR="00C42A03" w:rsidRPr="00C42A03" w:rsidRDefault="00065AD9" w:rsidP="003E68C8">
      <w:pPr>
        <w:pStyle w:val="ListParagraph"/>
        <w:numPr>
          <w:ilvl w:val="0"/>
          <w:numId w:val="17"/>
        </w:numPr>
      </w:pPr>
      <w:r>
        <w:rPr>
          <w:bCs/>
        </w:rPr>
        <w:t>MEFLOQUINE</w:t>
      </w:r>
    </w:p>
    <w:p w:rsidR="00065AD9" w:rsidRDefault="00C42A03" w:rsidP="00065AD9">
      <w:pPr>
        <w:rPr>
          <w:b/>
        </w:rPr>
      </w:pPr>
      <w:r>
        <w:rPr>
          <w:b/>
        </w:rPr>
        <w:t xml:space="preserve">Mechanism </w:t>
      </w:r>
      <w:r w:rsidR="00065AD9">
        <w:rPr>
          <w:b/>
        </w:rPr>
        <w:t>of action</w:t>
      </w:r>
    </w:p>
    <w:p w:rsidR="00065AD9" w:rsidRPr="00065AD9" w:rsidRDefault="00065AD9" w:rsidP="00065AD9">
      <w:pPr>
        <w:pStyle w:val="ListParagraph"/>
        <w:numPr>
          <w:ilvl w:val="0"/>
          <w:numId w:val="4"/>
        </w:numPr>
        <w:rPr>
          <w:rFonts w:cstheme="minorHAnsi"/>
          <w:b/>
        </w:rPr>
      </w:pPr>
      <w:proofErr w:type="spellStart"/>
      <w:r w:rsidRPr="00065AD9">
        <w:rPr>
          <w:rFonts w:cstheme="minorHAnsi"/>
          <w:color w:val="242424"/>
        </w:rPr>
        <w:t>Mefloquine</w:t>
      </w:r>
      <w:proofErr w:type="spellEnd"/>
      <w:r w:rsidRPr="00065AD9">
        <w:rPr>
          <w:rFonts w:cstheme="minorHAnsi"/>
          <w:color w:val="242424"/>
        </w:rPr>
        <w:t xml:space="preserve"> is an antimalarial agent which acts as a blood </w:t>
      </w:r>
      <w:proofErr w:type="spellStart"/>
      <w:r w:rsidRPr="00065AD9">
        <w:rPr>
          <w:rFonts w:cstheme="minorHAnsi"/>
          <w:color w:val="242424"/>
        </w:rPr>
        <w:t>schizonticide</w:t>
      </w:r>
      <w:proofErr w:type="spellEnd"/>
      <w:r w:rsidRPr="00065AD9">
        <w:rPr>
          <w:rFonts w:cstheme="minorHAnsi"/>
          <w:color w:val="242424"/>
        </w:rPr>
        <w:t>. Its exact mechanism of action is not known.</w:t>
      </w:r>
    </w:p>
    <w:p w:rsidR="00065AD9" w:rsidRPr="00065AD9" w:rsidRDefault="00065AD9" w:rsidP="00065AD9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242424"/>
          <w:sz w:val="22"/>
          <w:szCs w:val="22"/>
        </w:rPr>
      </w:pPr>
      <w:r w:rsidRPr="00065AD9">
        <w:rPr>
          <w:rStyle w:val="bold"/>
          <w:rFonts w:asciiTheme="minorHAnsi" w:hAnsiTheme="minorHAnsi" w:cstheme="minorHAnsi"/>
          <w:bCs/>
          <w:color w:val="242424"/>
          <w:sz w:val="22"/>
          <w:szCs w:val="22"/>
        </w:rPr>
        <w:t>Activity</w:t>
      </w:r>
      <w:r w:rsidRPr="00065AD9"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>
        <w:rPr>
          <w:rStyle w:val="bold"/>
          <w:rFonts w:asciiTheme="minorHAnsi" w:hAnsiTheme="minorHAnsi" w:cstheme="minorHAnsi"/>
          <w:bCs/>
          <w:color w:val="242424"/>
          <w:sz w:val="22"/>
          <w:szCs w:val="22"/>
        </w:rPr>
        <w:t>i</w:t>
      </w:r>
      <w:r w:rsidRPr="00065AD9">
        <w:rPr>
          <w:rStyle w:val="bold"/>
          <w:rFonts w:asciiTheme="minorHAnsi" w:hAnsiTheme="minorHAnsi" w:cstheme="minorHAnsi"/>
          <w:bCs/>
          <w:color w:val="242424"/>
          <w:sz w:val="22"/>
          <w:szCs w:val="22"/>
        </w:rPr>
        <w:t>n Vitro</w:t>
      </w:r>
      <w:r w:rsidRPr="00065AD9"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 w:rsidRPr="00065AD9">
        <w:rPr>
          <w:rStyle w:val="bold"/>
          <w:rFonts w:asciiTheme="minorHAnsi" w:hAnsiTheme="minorHAnsi" w:cstheme="minorHAnsi"/>
          <w:bCs/>
          <w:color w:val="242424"/>
          <w:sz w:val="22"/>
          <w:szCs w:val="22"/>
        </w:rPr>
        <w:t>and</w:t>
      </w:r>
      <w:r w:rsidRPr="00065AD9"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 w:rsidRPr="00065AD9">
        <w:rPr>
          <w:rStyle w:val="bold"/>
          <w:rFonts w:asciiTheme="minorHAnsi" w:hAnsiTheme="minorHAnsi" w:cstheme="minorHAnsi"/>
          <w:bCs/>
          <w:color w:val="242424"/>
          <w:sz w:val="22"/>
          <w:szCs w:val="22"/>
        </w:rPr>
        <w:t>In Vivo</w:t>
      </w:r>
      <w:r w:rsidRPr="00065AD9">
        <w:rPr>
          <w:rFonts w:asciiTheme="minorHAnsi" w:hAnsiTheme="minorHAnsi" w:cstheme="minorHAnsi"/>
          <w:color w:val="242424"/>
          <w:sz w:val="22"/>
          <w:szCs w:val="22"/>
        </w:rPr>
        <w:t xml:space="preserve">: </w:t>
      </w:r>
      <w:proofErr w:type="spellStart"/>
      <w:r w:rsidRPr="00065AD9">
        <w:rPr>
          <w:rFonts w:asciiTheme="minorHAnsi" w:hAnsiTheme="minorHAnsi" w:cstheme="minorHAnsi"/>
          <w:color w:val="242424"/>
          <w:sz w:val="22"/>
          <w:szCs w:val="22"/>
        </w:rPr>
        <w:t>Mefloquine</w:t>
      </w:r>
      <w:proofErr w:type="spellEnd"/>
      <w:r w:rsidRPr="00065AD9">
        <w:rPr>
          <w:rFonts w:asciiTheme="minorHAnsi" w:hAnsiTheme="minorHAnsi" w:cstheme="minorHAnsi"/>
          <w:color w:val="242424"/>
          <w:sz w:val="22"/>
          <w:szCs w:val="22"/>
        </w:rPr>
        <w:t xml:space="preserve"> is active against the </w:t>
      </w:r>
      <w:proofErr w:type="spellStart"/>
      <w:r w:rsidRPr="00065AD9">
        <w:rPr>
          <w:rFonts w:asciiTheme="minorHAnsi" w:hAnsiTheme="minorHAnsi" w:cstheme="minorHAnsi"/>
          <w:color w:val="242424"/>
          <w:sz w:val="22"/>
          <w:szCs w:val="22"/>
        </w:rPr>
        <w:t>erythrocytic</w:t>
      </w:r>
      <w:proofErr w:type="spellEnd"/>
      <w:r w:rsidRPr="00065AD9">
        <w:rPr>
          <w:rFonts w:asciiTheme="minorHAnsi" w:hAnsiTheme="minorHAnsi" w:cstheme="minorHAnsi"/>
          <w:color w:val="242424"/>
          <w:sz w:val="22"/>
          <w:szCs w:val="22"/>
        </w:rPr>
        <w:t xml:space="preserve"> stages of Plasmodium species. However, the drug has no effect against the </w:t>
      </w:r>
      <w:proofErr w:type="spellStart"/>
      <w:r w:rsidRPr="00065AD9">
        <w:rPr>
          <w:rFonts w:asciiTheme="minorHAnsi" w:hAnsiTheme="minorHAnsi" w:cstheme="minorHAnsi"/>
          <w:color w:val="242424"/>
          <w:sz w:val="22"/>
          <w:szCs w:val="22"/>
        </w:rPr>
        <w:t>exoerythrocytic</w:t>
      </w:r>
      <w:proofErr w:type="spellEnd"/>
      <w:r w:rsidRPr="00065AD9">
        <w:rPr>
          <w:rFonts w:asciiTheme="minorHAnsi" w:hAnsiTheme="minorHAnsi" w:cstheme="minorHAnsi"/>
          <w:color w:val="242424"/>
          <w:sz w:val="22"/>
          <w:szCs w:val="22"/>
        </w:rPr>
        <w:t xml:space="preserve"> (hepatic) stages of the parasite. </w:t>
      </w:r>
      <w:proofErr w:type="spellStart"/>
      <w:r w:rsidRPr="00065AD9">
        <w:rPr>
          <w:rFonts w:asciiTheme="minorHAnsi" w:hAnsiTheme="minorHAnsi" w:cstheme="minorHAnsi"/>
          <w:color w:val="242424"/>
          <w:sz w:val="22"/>
          <w:szCs w:val="22"/>
        </w:rPr>
        <w:t>Mefloquine</w:t>
      </w:r>
      <w:proofErr w:type="spellEnd"/>
      <w:r w:rsidRPr="00065AD9">
        <w:rPr>
          <w:rFonts w:asciiTheme="minorHAnsi" w:hAnsiTheme="minorHAnsi" w:cstheme="minorHAnsi"/>
          <w:color w:val="242424"/>
          <w:sz w:val="22"/>
          <w:szCs w:val="22"/>
        </w:rPr>
        <w:t xml:space="preserve"> is effective against malaria parasites resistant to </w:t>
      </w:r>
      <w:proofErr w:type="spellStart"/>
      <w:r w:rsidRPr="00065AD9">
        <w:rPr>
          <w:rFonts w:asciiTheme="minorHAnsi" w:hAnsiTheme="minorHAnsi" w:cstheme="minorHAnsi"/>
          <w:color w:val="242424"/>
          <w:sz w:val="22"/>
          <w:szCs w:val="22"/>
        </w:rPr>
        <w:t>chloroquine</w:t>
      </w:r>
      <w:proofErr w:type="spellEnd"/>
      <w:r w:rsidRPr="00065AD9"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</w:p>
    <w:p w:rsidR="00C42A03" w:rsidRDefault="00065AD9" w:rsidP="003E68C8">
      <w:pPr>
        <w:pStyle w:val="ListParagraph"/>
        <w:numPr>
          <w:ilvl w:val="0"/>
          <w:numId w:val="17"/>
        </w:numPr>
      </w:pPr>
      <w:r>
        <w:t>QUINE</w:t>
      </w:r>
    </w:p>
    <w:p w:rsidR="00065AD9" w:rsidRDefault="00065AD9" w:rsidP="00065AD9">
      <w:pPr>
        <w:rPr>
          <w:b/>
        </w:rPr>
      </w:pPr>
      <w:r>
        <w:rPr>
          <w:b/>
        </w:rPr>
        <w:t>Mechanism of action:</w:t>
      </w:r>
    </w:p>
    <w:p w:rsidR="00065AD9" w:rsidRPr="00065AD9" w:rsidRDefault="00065AD9" w:rsidP="00065AD9">
      <w:pPr>
        <w:pStyle w:val="ListParagraph"/>
        <w:numPr>
          <w:ilvl w:val="0"/>
          <w:numId w:val="5"/>
        </w:numPr>
      </w:pPr>
      <w:r w:rsidRPr="00065AD9">
        <w:t xml:space="preserve">Same as </w:t>
      </w:r>
      <w:proofErr w:type="spellStart"/>
      <w:r w:rsidRPr="00065AD9">
        <w:rPr>
          <w:bCs/>
        </w:rPr>
        <w:t>chloroquine</w:t>
      </w:r>
      <w:proofErr w:type="spellEnd"/>
    </w:p>
    <w:p w:rsidR="00A3268B" w:rsidRPr="00065AD9" w:rsidRDefault="00A35032" w:rsidP="00065AD9">
      <w:pPr>
        <w:pStyle w:val="ListParagraph"/>
        <w:numPr>
          <w:ilvl w:val="0"/>
          <w:numId w:val="5"/>
        </w:numPr>
      </w:pPr>
      <w:r w:rsidRPr="00065AD9">
        <w:rPr>
          <w:lang w:val="en-IN"/>
        </w:rPr>
        <w:t>It is a weak base: gets co</w:t>
      </w:r>
      <w:r w:rsidRPr="00065AD9">
        <w:rPr>
          <w:bCs/>
          <w:lang w:val="en-IN"/>
        </w:rPr>
        <w:t>n</w:t>
      </w:r>
      <w:r w:rsidRPr="00065AD9">
        <w:rPr>
          <w:lang w:val="en-IN"/>
        </w:rPr>
        <w:t xml:space="preserve">centrated in the </w:t>
      </w:r>
      <w:r w:rsidRPr="00065AD9">
        <w:rPr>
          <w:bCs/>
          <w:lang w:val="en-IN"/>
        </w:rPr>
        <w:t xml:space="preserve">acidic food vacuoles </w:t>
      </w:r>
      <w:r w:rsidRPr="00065AD9">
        <w:rPr>
          <w:lang w:val="en-IN"/>
        </w:rPr>
        <w:t>of sensitive plasmodia</w:t>
      </w:r>
    </w:p>
    <w:p w:rsidR="00A3268B" w:rsidRPr="00065AD9" w:rsidRDefault="00A35032" w:rsidP="00065AD9">
      <w:pPr>
        <w:pStyle w:val="ListParagraph"/>
        <w:numPr>
          <w:ilvl w:val="0"/>
          <w:numId w:val="5"/>
        </w:numPr>
      </w:pPr>
      <w:proofErr w:type="gramStart"/>
      <w:r w:rsidRPr="00065AD9">
        <w:rPr>
          <w:lang w:val="en-IN"/>
        </w:rPr>
        <w:t>inhibits</w:t>
      </w:r>
      <w:proofErr w:type="gramEnd"/>
      <w:r w:rsidRPr="00065AD9">
        <w:rPr>
          <w:lang w:val="en-IN"/>
        </w:rPr>
        <w:t xml:space="preserve"> polymerization of </w:t>
      </w:r>
      <w:proofErr w:type="spellStart"/>
      <w:r w:rsidRPr="00065AD9">
        <w:rPr>
          <w:lang w:val="en-IN"/>
        </w:rPr>
        <w:t>haeme</w:t>
      </w:r>
      <w:proofErr w:type="spellEnd"/>
      <w:r w:rsidRPr="00065AD9">
        <w:rPr>
          <w:lang w:val="en-IN"/>
        </w:rPr>
        <w:t xml:space="preserve"> to </w:t>
      </w:r>
      <w:proofErr w:type="spellStart"/>
      <w:r w:rsidRPr="00065AD9">
        <w:rPr>
          <w:lang w:val="en-IN"/>
        </w:rPr>
        <w:t>hemozoin</w:t>
      </w:r>
      <w:proofErr w:type="spellEnd"/>
      <w:r w:rsidRPr="00065AD9">
        <w:rPr>
          <w:lang w:val="en-IN"/>
        </w:rPr>
        <w:t xml:space="preserve"> </w:t>
      </w:r>
      <w:r w:rsidR="00065AD9" w:rsidRPr="00065AD9">
        <w:rPr>
          <w:lang w:val="en-IN"/>
        </w:rPr>
        <w:t xml:space="preserve"> </w:t>
      </w:r>
      <w:r w:rsidRPr="00065AD9">
        <w:rPr>
          <w:bCs/>
          <w:lang w:val="en-IN"/>
        </w:rPr>
        <w:t xml:space="preserve">free </w:t>
      </w:r>
      <w:proofErr w:type="spellStart"/>
      <w:r w:rsidRPr="00065AD9">
        <w:rPr>
          <w:bCs/>
          <w:lang w:val="en-IN"/>
        </w:rPr>
        <w:t>haeme</w:t>
      </w:r>
      <w:proofErr w:type="spellEnd"/>
      <w:r w:rsidRPr="00065AD9">
        <w:rPr>
          <w:bCs/>
          <w:lang w:val="en-IN"/>
        </w:rPr>
        <w:t xml:space="preserve"> </w:t>
      </w:r>
      <w:r w:rsidRPr="00065AD9">
        <w:rPr>
          <w:lang w:val="en-IN"/>
        </w:rPr>
        <w:t>increases(toxic)</w:t>
      </w:r>
      <w:r w:rsidR="00065AD9" w:rsidRPr="00065AD9">
        <w:rPr>
          <w:lang w:val="en-IN"/>
        </w:rPr>
        <w:t xml:space="preserve"> or </w:t>
      </w:r>
      <w:proofErr w:type="spellStart"/>
      <w:r w:rsidR="00065AD9" w:rsidRPr="00065AD9">
        <w:rPr>
          <w:bCs/>
          <w:lang w:val="en-IN"/>
        </w:rPr>
        <w:t>haeme</w:t>
      </w:r>
      <w:proofErr w:type="spellEnd"/>
      <w:r w:rsidR="00065AD9" w:rsidRPr="00065AD9">
        <w:rPr>
          <w:bCs/>
          <w:lang w:val="en-IN"/>
        </w:rPr>
        <w:t xml:space="preserve">-quinine complex </w:t>
      </w:r>
      <w:r w:rsidR="00065AD9" w:rsidRPr="00065AD9">
        <w:rPr>
          <w:lang w:val="en-IN"/>
        </w:rPr>
        <w:t>damages parasite membranes and kills it</w:t>
      </w:r>
      <w:r w:rsidR="00065AD9">
        <w:rPr>
          <w:lang w:val="en-IN"/>
        </w:rPr>
        <w:t xml:space="preserve">. </w:t>
      </w:r>
      <w:r w:rsidRPr="00065AD9">
        <w:rPr>
          <w:lang w:val="en-IN"/>
        </w:rPr>
        <w:t xml:space="preserve">After </w:t>
      </w:r>
      <w:r w:rsidRPr="00065AD9">
        <w:rPr>
          <w:b/>
          <w:bCs/>
          <w:lang w:val="en-IN"/>
        </w:rPr>
        <w:t>oral</w:t>
      </w:r>
      <w:r w:rsidRPr="00065AD9">
        <w:rPr>
          <w:lang w:val="en-IN"/>
        </w:rPr>
        <w:t xml:space="preserve"> administration, quinine is rapidly absorbed, reaches peak plasma levels in 1–3 hours, and is widely distributed in body tissues. </w:t>
      </w:r>
    </w:p>
    <w:p w:rsidR="00A3268B" w:rsidRPr="00065AD9" w:rsidRDefault="00A35032" w:rsidP="00065AD9">
      <w:pPr>
        <w:pStyle w:val="ListParagraph"/>
        <w:numPr>
          <w:ilvl w:val="0"/>
          <w:numId w:val="5"/>
        </w:numPr>
      </w:pPr>
      <w:r w:rsidRPr="00065AD9">
        <w:rPr>
          <w:lang w:val="en-IN"/>
        </w:rPr>
        <w:lastRenderedPageBreak/>
        <w:t xml:space="preserve">The use of a </w:t>
      </w:r>
      <w:r w:rsidRPr="00065AD9">
        <w:rPr>
          <w:b/>
          <w:bCs/>
          <w:lang w:val="en-IN"/>
        </w:rPr>
        <w:t>loading</w:t>
      </w:r>
      <w:r w:rsidRPr="00065AD9">
        <w:rPr>
          <w:lang w:val="en-IN"/>
        </w:rPr>
        <w:t xml:space="preserve"> dose in </w:t>
      </w:r>
      <w:r w:rsidRPr="00065AD9">
        <w:rPr>
          <w:b/>
          <w:bCs/>
          <w:lang w:val="en-IN"/>
        </w:rPr>
        <w:t>severe</w:t>
      </w:r>
      <w:r w:rsidRPr="00065AD9">
        <w:rPr>
          <w:lang w:val="en-IN"/>
        </w:rPr>
        <w:t xml:space="preserve"> malaria allows the achievement of peak levels within a few hours.</w:t>
      </w:r>
    </w:p>
    <w:p w:rsidR="00065AD9" w:rsidRPr="00065AD9" w:rsidRDefault="00065AD9" w:rsidP="003E68C8">
      <w:pPr>
        <w:pStyle w:val="ListParagraph"/>
        <w:numPr>
          <w:ilvl w:val="0"/>
          <w:numId w:val="17"/>
        </w:numPr>
      </w:pPr>
      <w:r w:rsidRPr="00065AD9">
        <w:rPr>
          <w:bCs/>
          <w:lang w:val="en-IN"/>
        </w:rPr>
        <w:t>PYRIMETHAMINE</w:t>
      </w:r>
    </w:p>
    <w:p w:rsidR="00065AD9" w:rsidRDefault="00065AD9" w:rsidP="00065AD9">
      <w:pPr>
        <w:rPr>
          <w:b/>
        </w:rPr>
      </w:pPr>
      <w:r>
        <w:rPr>
          <w:b/>
        </w:rPr>
        <w:t xml:space="preserve">Mechanism of action: </w:t>
      </w:r>
    </w:p>
    <w:p w:rsidR="00065AD9" w:rsidRPr="008721A7" w:rsidRDefault="00065AD9" w:rsidP="00065AD9">
      <w:pPr>
        <w:pStyle w:val="ListParagraph"/>
        <w:numPr>
          <w:ilvl w:val="0"/>
          <w:numId w:val="8"/>
        </w:numPr>
      </w:pPr>
      <w:r w:rsidRPr="008721A7">
        <w:t xml:space="preserve">It is a directly acting inhibitor of </w:t>
      </w:r>
      <w:proofErr w:type="spellStart"/>
      <w:r w:rsidR="008721A7" w:rsidRPr="008721A7">
        <w:t>plasmodial</w:t>
      </w:r>
      <w:proofErr w:type="spellEnd"/>
      <w:r w:rsidR="008721A7" w:rsidRPr="008721A7">
        <w:t xml:space="preserve"> </w:t>
      </w:r>
      <w:proofErr w:type="spellStart"/>
      <w:r w:rsidR="008721A7" w:rsidRPr="008721A7">
        <w:t>DHFRase</w:t>
      </w:r>
      <w:proofErr w:type="spellEnd"/>
      <w:r w:rsidR="008721A7" w:rsidRPr="008721A7">
        <w:t>.</w:t>
      </w:r>
    </w:p>
    <w:p w:rsidR="008721A7" w:rsidRPr="008721A7" w:rsidRDefault="008721A7" w:rsidP="00065AD9">
      <w:pPr>
        <w:pStyle w:val="ListParagraph"/>
        <w:numPr>
          <w:ilvl w:val="0"/>
          <w:numId w:val="8"/>
        </w:numPr>
      </w:pPr>
      <w:r w:rsidRPr="008721A7">
        <w:t xml:space="preserve">It gradually reduces the </w:t>
      </w:r>
      <w:proofErr w:type="spellStart"/>
      <w:r w:rsidRPr="008721A7">
        <w:t>schizogony</w:t>
      </w:r>
      <w:proofErr w:type="spellEnd"/>
      <w:r w:rsidRPr="008721A7">
        <w:t xml:space="preserve"> of malaria parasite in the blood.</w:t>
      </w:r>
    </w:p>
    <w:p w:rsidR="008721A7" w:rsidRDefault="008721A7" w:rsidP="008721A7">
      <w:pPr>
        <w:pStyle w:val="ListParagraph"/>
        <w:numPr>
          <w:ilvl w:val="0"/>
          <w:numId w:val="8"/>
        </w:numPr>
      </w:pPr>
      <w:r w:rsidRPr="008721A7">
        <w:t xml:space="preserve">It is slowly acting </w:t>
      </w:r>
      <w:proofErr w:type="spellStart"/>
      <w:r w:rsidRPr="008721A7">
        <w:t>erythrocytic</w:t>
      </w:r>
      <w:proofErr w:type="spellEnd"/>
      <w:r w:rsidRPr="008721A7">
        <w:t xml:space="preserve"> </w:t>
      </w:r>
      <w:proofErr w:type="spellStart"/>
      <w:r w:rsidRPr="008721A7">
        <w:t>schizontozide</w:t>
      </w:r>
      <w:proofErr w:type="spellEnd"/>
      <w:r w:rsidRPr="008721A7">
        <w:t xml:space="preserve">. </w:t>
      </w:r>
    </w:p>
    <w:p w:rsidR="008721A7" w:rsidRDefault="008721A7" w:rsidP="003E68C8">
      <w:pPr>
        <w:pStyle w:val="ListParagraph"/>
        <w:numPr>
          <w:ilvl w:val="0"/>
          <w:numId w:val="17"/>
        </w:numPr>
      </w:pPr>
      <w:r>
        <w:t>PROGUANIL</w:t>
      </w:r>
    </w:p>
    <w:p w:rsidR="008721A7" w:rsidRDefault="008721A7" w:rsidP="008721A7">
      <w:pPr>
        <w:rPr>
          <w:b/>
        </w:rPr>
      </w:pPr>
      <w:r>
        <w:rPr>
          <w:b/>
        </w:rPr>
        <w:t xml:space="preserve">Mechanism of action: </w:t>
      </w:r>
    </w:p>
    <w:p w:rsidR="008721A7" w:rsidRPr="008721A7" w:rsidRDefault="008721A7" w:rsidP="008721A7">
      <w:pPr>
        <w:pStyle w:val="ListParagraph"/>
        <w:numPr>
          <w:ilvl w:val="0"/>
          <w:numId w:val="9"/>
        </w:numPr>
      </w:pPr>
      <w:r w:rsidRPr="008721A7">
        <w:rPr>
          <w:lang w:val="en-IN"/>
        </w:rPr>
        <w:t xml:space="preserve">It is cyclized in the body to </w:t>
      </w:r>
      <w:proofErr w:type="spellStart"/>
      <w:r w:rsidRPr="008721A7">
        <w:rPr>
          <w:lang w:val="en-IN"/>
        </w:rPr>
        <w:t>cycloguanil</w:t>
      </w:r>
      <w:proofErr w:type="spellEnd"/>
      <w:r w:rsidRPr="008721A7">
        <w:rPr>
          <w:lang w:val="en-IN"/>
        </w:rPr>
        <w:t xml:space="preserve"> which inhibits </w:t>
      </w:r>
      <w:proofErr w:type="spellStart"/>
      <w:r w:rsidRPr="008721A7">
        <w:rPr>
          <w:lang w:val="en-IN"/>
        </w:rPr>
        <w:t>plasmodial</w:t>
      </w:r>
      <w:proofErr w:type="spellEnd"/>
      <w:r w:rsidRPr="008721A7">
        <w:rPr>
          <w:lang w:val="en-IN"/>
        </w:rPr>
        <w:t xml:space="preserve"> </w:t>
      </w:r>
      <w:proofErr w:type="spellStart"/>
      <w:r w:rsidRPr="008721A7">
        <w:rPr>
          <w:bCs/>
          <w:lang w:val="en-IN"/>
        </w:rPr>
        <w:t>DHFRase</w:t>
      </w:r>
      <w:proofErr w:type="spellEnd"/>
      <w:r w:rsidRPr="008721A7">
        <w:rPr>
          <w:lang w:val="en-IN"/>
        </w:rPr>
        <w:t xml:space="preserve"> in preference to the mammalian enzyme.</w:t>
      </w:r>
    </w:p>
    <w:p w:rsidR="008721A7" w:rsidRPr="00672420" w:rsidRDefault="00672420" w:rsidP="003E68C8">
      <w:pPr>
        <w:pStyle w:val="ListParagraph"/>
        <w:numPr>
          <w:ilvl w:val="0"/>
          <w:numId w:val="17"/>
        </w:numPr>
        <w:rPr>
          <w:b/>
        </w:rPr>
      </w:pPr>
      <w:r>
        <w:t xml:space="preserve">TETRACYCLINE </w:t>
      </w:r>
    </w:p>
    <w:p w:rsidR="00672420" w:rsidRDefault="00672420" w:rsidP="00672420">
      <w:pPr>
        <w:rPr>
          <w:b/>
        </w:rPr>
      </w:pPr>
      <w:r>
        <w:rPr>
          <w:b/>
        </w:rPr>
        <w:t xml:space="preserve">Mechanism of action: </w:t>
      </w:r>
    </w:p>
    <w:p w:rsidR="00672420" w:rsidRPr="00A35032" w:rsidRDefault="00672420" w:rsidP="00672420">
      <w:pPr>
        <w:pStyle w:val="ListParagraph"/>
        <w:numPr>
          <w:ilvl w:val="0"/>
          <w:numId w:val="9"/>
        </w:numPr>
        <w:spacing w:after="300" w:line="240" w:lineRule="auto"/>
        <w:textAlignment w:val="baseline"/>
        <w:rPr>
          <w:rFonts w:eastAsia="Times New Roman" w:cstheme="minorHAnsi"/>
          <w:color w:val="111111"/>
        </w:rPr>
      </w:pPr>
      <w:r w:rsidRPr="00A35032">
        <w:rPr>
          <w:rFonts w:eastAsia="Times New Roman" w:cstheme="minorHAnsi"/>
          <w:color w:val="111111"/>
        </w:rPr>
        <w:t xml:space="preserve">Tetracycline inhibits protein synthesis by blocking the binding of </w:t>
      </w:r>
      <w:proofErr w:type="spellStart"/>
      <w:r w:rsidRPr="00A35032">
        <w:rPr>
          <w:rFonts w:eastAsia="Times New Roman" w:cstheme="minorHAnsi"/>
          <w:color w:val="111111"/>
        </w:rPr>
        <w:t>aminoacyl-tRNA</w:t>
      </w:r>
      <w:proofErr w:type="spellEnd"/>
      <w:r w:rsidRPr="00A35032">
        <w:rPr>
          <w:rFonts w:eastAsia="Times New Roman" w:cstheme="minorHAnsi"/>
          <w:color w:val="111111"/>
        </w:rPr>
        <w:t xml:space="preserve"> charged to site A on the ribosome. This binds to the 30S subunit of the microbial ribosomes. Therefore, it prevents the introduction of new amino acids to the nascent peptide chain.</w:t>
      </w:r>
    </w:p>
    <w:p w:rsidR="00672420" w:rsidRPr="00A35032" w:rsidRDefault="00672420" w:rsidP="00672420">
      <w:pPr>
        <w:pStyle w:val="ListParagraph"/>
        <w:numPr>
          <w:ilvl w:val="0"/>
          <w:numId w:val="9"/>
        </w:numPr>
        <w:rPr>
          <w:rFonts w:cstheme="minorHAnsi"/>
        </w:rPr>
      </w:pPr>
      <w:r w:rsidRPr="00A35032">
        <w:rPr>
          <w:rFonts w:cstheme="minorHAnsi"/>
          <w:color w:val="111111"/>
          <w:shd w:val="clear" w:color="auto" w:fill="FFFFFF"/>
        </w:rPr>
        <w:t xml:space="preserve">The action is usually inhibitory and reversible when withdrawing the drug. Mammalian cells are less vulnerable to the effect of </w:t>
      </w:r>
      <w:proofErr w:type="spellStart"/>
      <w:r w:rsidRPr="00A35032">
        <w:rPr>
          <w:rFonts w:cstheme="minorHAnsi"/>
          <w:color w:val="111111"/>
          <w:shd w:val="clear" w:color="auto" w:fill="FFFFFF"/>
        </w:rPr>
        <w:t>tetracyclines</w:t>
      </w:r>
      <w:proofErr w:type="spellEnd"/>
      <w:r w:rsidRPr="00A35032">
        <w:rPr>
          <w:rFonts w:cstheme="minorHAnsi"/>
          <w:color w:val="111111"/>
          <w:shd w:val="clear" w:color="auto" w:fill="FFFFFF"/>
        </w:rPr>
        <w:t>, despite the fact that tetracycline binds to the small ribosomal subunit of prokaryotes and eukaryotes (30S and 40S, respectively).</w:t>
      </w:r>
    </w:p>
    <w:p w:rsidR="00672420" w:rsidRPr="00A35032" w:rsidRDefault="00672420" w:rsidP="00672420">
      <w:pPr>
        <w:pStyle w:val="ListParagraph"/>
        <w:numPr>
          <w:ilvl w:val="0"/>
          <w:numId w:val="9"/>
        </w:numPr>
        <w:rPr>
          <w:rFonts w:cstheme="minorHAnsi"/>
        </w:rPr>
      </w:pPr>
      <w:r w:rsidRPr="00A35032">
        <w:rPr>
          <w:rFonts w:cstheme="minorHAnsi"/>
          <w:color w:val="111111"/>
          <w:shd w:val="clear" w:color="auto" w:fill="FFFFFF"/>
        </w:rPr>
        <w:t>This is because bacteria actively pump tetracycline in their cytoplasm, even against a concentration gradient, while mammalian cells do not. This explains the relatively small effect outside the tetracycline site on human cells.</w:t>
      </w:r>
    </w:p>
    <w:p w:rsidR="00F1699D" w:rsidRPr="00672420" w:rsidRDefault="00672420" w:rsidP="003E68C8">
      <w:pPr>
        <w:pStyle w:val="ListParagraph"/>
        <w:numPr>
          <w:ilvl w:val="0"/>
          <w:numId w:val="17"/>
        </w:numPr>
      </w:pPr>
      <w:r w:rsidRPr="00672420">
        <w:t>ARTEMESININ</w:t>
      </w:r>
    </w:p>
    <w:p w:rsidR="00672420" w:rsidRDefault="00672420" w:rsidP="00672420">
      <w:pPr>
        <w:rPr>
          <w:b/>
        </w:rPr>
      </w:pPr>
      <w:r>
        <w:rPr>
          <w:b/>
        </w:rPr>
        <w:t>Mechanism of action:</w:t>
      </w:r>
    </w:p>
    <w:p w:rsidR="00672420" w:rsidRPr="00A35032" w:rsidRDefault="00A35032" w:rsidP="00672420">
      <w:pPr>
        <w:pStyle w:val="ListParagraph"/>
        <w:numPr>
          <w:ilvl w:val="0"/>
          <w:numId w:val="10"/>
        </w:numPr>
      </w:pPr>
      <w:r w:rsidRPr="00A35032">
        <w:t>T</w:t>
      </w:r>
      <w:r w:rsidR="0020295F" w:rsidRPr="00A35032">
        <w:t xml:space="preserve">hese </w:t>
      </w:r>
      <w:proofErr w:type="gramStart"/>
      <w:r w:rsidR="0020295F" w:rsidRPr="00A35032">
        <w:t>compound</w:t>
      </w:r>
      <w:proofErr w:type="gramEnd"/>
      <w:r w:rsidR="0020295F" w:rsidRPr="00A35032">
        <w:t xml:space="preserve"> have presence of </w:t>
      </w:r>
      <w:proofErr w:type="spellStart"/>
      <w:r w:rsidR="0020295F" w:rsidRPr="00A35032">
        <w:t>endoperoxide</w:t>
      </w:r>
      <w:proofErr w:type="spellEnd"/>
      <w:r w:rsidR="0020295F" w:rsidRPr="00A35032">
        <w:t xml:space="preserve"> bridge. </w:t>
      </w:r>
    </w:p>
    <w:p w:rsidR="0020295F" w:rsidRPr="00A35032" w:rsidRDefault="0020295F" w:rsidP="00672420">
      <w:pPr>
        <w:pStyle w:val="ListParagraph"/>
        <w:numPr>
          <w:ilvl w:val="0"/>
          <w:numId w:val="10"/>
        </w:numPr>
      </w:pPr>
      <w:proofErr w:type="spellStart"/>
      <w:r w:rsidRPr="00A35032">
        <w:t>Endoperoxide</w:t>
      </w:r>
      <w:proofErr w:type="spellEnd"/>
      <w:r w:rsidRPr="00A35032">
        <w:t xml:space="preserve"> bridge interacts with </w:t>
      </w:r>
      <w:proofErr w:type="spellStart"/>
      <w:r w:rsidRPr="00A35032">
        <w:t>heme</w:t>
      </w:r>
      <w:proofErr w:type="spellEnd"/>
      <w:r w:rsidRPr="00A35032">
        <w:t xml:space="preserve"> </w:t>
      </w:r>
      <w:r w:rsidR="00A35032" w:rsidRPr="00A35032">
        <w:t>in parasite</w:t>
      </w:r>
    </w:p>
    <w:p w:rsidR="00A35032" w:rsidRPr="00A35032" w:rsidRDefault="00A35032" w:rsidP="00672420">
      <w:pPr>
        <w:pStyle w:val="ListParagraph"/>
        <w:numPr>
          <w:ilvl w:val="0"/>
          <w:numId w:val="10"/>
        </w:numPr>
      </w:pPr>
      <w:proofErr w:type="spellStart"/>
      <w:r w:rsidRPr="00A35032">
        <w:t>Heme</w:t>
      </w:r>
      <w:proofErr w:type="spellEnd"/>
      <w:r w:rsidRPr="00A35032">
        <w:t xml:space="preserve"> iron cleaves this </w:t>
      </w:r>
      <w:proofErr w:type="spellStart"/>
      <w:r w:rsidRPr="00A35032">
        <w:t>endoperoxide</w:t>
      </w:r>
      <w:proofErr w:type="spellEnd"/>
      <w:r w:rsidRPr="00A35032">
        <w:t xml:space="preserve"> bridge. </w:t>
      </w:r>
    </w:p>
    <w:p w:rsidR="00A35032" w:rsidRDefault="00A35032" w:rsidP="00672420">
      <w:pPr>
        <w:pStyle w:val="ListParagraph"/>
        <w:numPr>
          <w:ilvl w:val="0"/>
          <w:numId w:val="10"/>
        </w:numPr>
      </w:pPr>
      <w:r w:rsidRPr="00A35032">
        <w:t xml:space="preserve">There is generation of highly reactive free radicals which damage parasite membrane </w:t>
      </w:r>
      <w:proofErr w:type="spellStart"/>
      <w:r w:rsidRPr="00A35032">
        <w:t>bycovalently</w:t>
      </w:r>
      <w:proofErr w:type="spellEnd"/>
      <w:r w:rsidRPr="00A35032">
        <w:t xml:space="preserve"> binding to membrane proteins.</w:t>
      </w:r>
    </w:p>
    <w:p w:rsidR="00733E28" w:rsidRDefault="00733E28" w:rsidP="003E68C8">
      <w:pPr>
        <w:pStyle w:val="ListParagraph"/>
        <w:numPr>
          <w:ilvl w:val="0"/>
          <w:numId w:val="17"/>
        </w:numPr>
      </w:pPr>
      <w:r>
        <w:t>SULFONAMIDES</w:t>
      </w:r>
    </w:p>
    <w:p w:rsidR="00733E28" w:rsidRDefault="00733E28" w:rsidP="00733E28">
      <w:r>
        <w:rPr>
          <w:b/>
        </w:rPr>
        <w:t xml:space="preserve">Mechanism of action: </w:t>
      </w:r>
    </w:p>
    <w:p w:rsidR="00733E28" w:rsidRDefault="00733E28" w:rsidP="00733E28">
      <w:pPr>
        <w:pStyle w:val="ListParagraph"/>
        <w:numPr>
          <w:ilvl w:val="0"/>
          <w:numId w:val="11"/>
        </w:numPr>
      </w:pPr>
      <w:r>
        <w:t>Bacteria synthesize their own folic acid of which p-</w:t>
      </w:r>
      <w:proofErr w:type="spellStart"/>
      <w:r>
        <w:t>aminobenzoic</w:t>
      </w:r>
      <w:proofErr w:type="spellEnd"/>
      <w:r>
        <w:t xml:space="preserve"> acid (PABA) is a </w:t>
      </w:r>
      <w:proofErr w:type="spellStart"/>
      <w:r>
        <w:t>constitutent</w:t>
      </w:r>
      <w:proofErr w:type="spellEnd"/>
      <w:r>
        <w:t xml:space="preserve">, and is taken up from the medium. </w:t>
      </w:r>
    </w:p>
    <w:p w:rsidR="00733E28" w:rsidRDefault="00733E28" w:rsidP="00733E28">
      <w:pPr>
        <w:pStyle w:val="ListParagraph"/>
        <w:numPr>
          <w:ilvl w:val="0"/>
          <w:numId w:val="11"/>
        </w:numPr>
      </w:pPr>
      <w:r>
        <w:t xml:space="preserve">Sulfonamides are structural analogues of PABA, inhibit bacterial </w:t>
      </w:r>
      <w:proofErr w:type="spellStart"/>
      <w:r>
        <w:t>folate</w:t>
      </w:r>
      <w:proofErr w:type="spellEnd"/>
      <w:r>
        <w:t xml:space="preserve"> synthase and formation of </w:t>
      </w:r>
      <w:proofErr w:type="spellStart"/>
      <w:r>
        <w:t>folate</w:t>
      </w:r>
      <w:proofErr w:type="spellEnd"/>
      <w:r>
        <w:t xml:space="preserve"> get inhibited.</w:t>
      </w:r>
    </w:p>
    <w:p w:rsidR="00733E28" w:rsidRDefault="00733E28" w:rsidP="00733E28">
      <w:pPr>
        <w:pStyle w:val="ListParagraph"/>
        <w:numPr>
          <w:ilvl w:val="0"/>
          <w:numId w:val="11"/>
        </w:numPr>
      </w:pPr>
      <w:r>
        <w:lastRenderedPageBreak/>
        <w:t xml:space="preserve">Sulfonamides competitively inhibit the PABA with </w:t>
      </w:r>
      <w:proofErr w:type="spellStart"/>
      <w:r>
        <w:t>pteridine</w:t>
      </w:r>
      <w:proofErr w:type="spellEnd"/>
      <w:r>
        <w:t xml:space="preserve"> residue to form </w:t>
      </w:r>
      <w:proofErr w:type="spellStart"/>
      <w:r>
        <w:t>dihydropteroic</w:t>
      </w:r>
      <w:proofErr w:type="spellEnd"/>
      <w:r>
        <w:t xml:space="preserve"> acid which conjugates with glutamic acid to produce </w:t>
      </w:r>
      <w:proofErr w:type="spellStart"/>
      <w:r>
        <w:t>dihydrofolic</w:t>
      </w:r>
      <w:proofErr w:type="spellEnd"/>
      <w:r>
        <w:t xml:space="preserve"> acid </w:t>
      </w:r>
    </w:p>
    <w:p w:rsidR="00931A5C" w:rsidRDefault="00733E28" w:rsidP="00931A5C">
      <w:pPr>
        <w:pStyle w:val="ListParagraph"/>
        <w:numPr>
          <w:ilvl w:val="0"/>
          <w:numId w:val="11"/>
        </w:numPr>
      </w:pPr>
      <w:r>
        <w:t xml:space="preserve">Sulfonamide altered </w:t>
      </w:r>
      <w:proofErr w:type="spellStart"/>
      <w:r>
        <w:t>f</w:t>
      </w:r>
      <w:r w:rsidR="00931A5C">
        <w:t>olate</w:t>
      </w:r>
      <w:proofErr w:type="spellEnd"/>
      <w:r w:rsidR="00931A5C">
        <w:t xml:space="preserve"> and which is metabolically</w:t>
      </w:r>
      <w:r>
        <w:t xml:space="preserve"> injurious. </w:t>
      </w:r>
    </w:p>
    <w:p w:rsidR="00931A5C" w:rsidRPr="00733E28" w:rsidRDefault="00931A5C" w:rsidP="00931A5C">
      <w:pPr>
        <w:pStyle w:val="ListParagraph"/>
        <w:numPr>
          <w:ilvl w:val="0"/>
          <w:numId w:val="15"/>
        </w:numPr>
      </w:pPr>
      <w:r>
        <w:t>ATOVAQUONE</w:t>
      </w:r>
    </w:p>
    <w:p w:rsidR="00F1699D" w:rsidRDefault="00931A5C" w:rsidP="00F1699D">
      <w:pPr>
        <w:rPr>
          <w:b/>
        </w:rPr>
      </w:pPr>
      <w:r>
        <w:rPr>
          <w:b/>
        </w:rPr>
        <w:t>Mechanism of action:</w:t>
      </w:r>
    </w:p>
    <w:p w:rsidR="00931A5C" w:rsidRPr="00931A5C" w:rsidRDefault="00931A5C" w:rsidP="00931A5C">
      <w:pPr>
        <w:pStyle w:val="ListParagraph"/>
        <w:numPr>
          <w:ilvl w:val="0"/>
          <w:numId w:val="13"/>
        </w:numPr>
        <w:rPr>
          <w:b/>
        </w:rPr>
      </w:pPr>
      <w:proofErr w:type="spellStart"/>
      <w:r>
        <w:t>Atovaquone</w:t>
      </w:r>
      <w:proofErr w:type="spellEnd"/>
      <w:r>
        <w:t xml:space="preserve"> selectively inhibits the malarial cytochrome bc</w:t>
      </w:r>
      <w:r>
        <w:rPr>
          <w:vertAlign w:val="subscript"/>
        </w:rPr>
        <w:t>1</w:t>
      </w:r>
      <w:r>
        <w:t xml:space="preserve"> complex in the parasitic electron transport chain, collapsing the mitochondrial membrane potential. The malarial electron transport chain does not contribute significantly to ATP synthesis; thus it is believed that parasite death is due to the indirect inhibition of </w:t>
      </w:r>
      <w:proofErr w:type="spellStart"/>
      <w:r>
        <w:t>dihydroorotate</w:t>
      </w:r>
      <w:proofErr w:type="spellEnd"/>
      <w:r>
        <w:t xml:space="preserve"> dehydrogenase, which requires transport chain function and is essential to pyrimidine biosynthesis. </w:t>
      </w:r>
    </w:p>
    <w:p w:rsidR="00931A5C" w:rsidRDefault="00931A5C" w:rsidP="00931A5C">
      <w:pPr>
        <w:pStyle w:val="ListParagraph"/>
        <w:numPr>
          <w:ilvl w:val="0"/>
          <w:numId w:val="15"/>
        </w:numPr>
      </w:pPr>
      <w:r>
        <w:t>CLINDAMYCIN</w:t>
      </w:r>
    </w:p>
    <w:p w:rsidR="00931A5C" w:rsidRDefault="00931A5C" w:rsidP="00931A5C">
      <w:pPr>
        <w:rPr>
          <w:b/>
        </w:rPr>
      </w:pPr>
      <w:r>
        <w:rPr>
          <w:b/>
        </w:rPr>
        <w:t>Mechanism of action:</w:t>
      </w:r>
    </w:p>
    <w:p w:rsidR="00931A5C" w:rsidRPr="003E68C8" w:rsidRDefault="00CD3595" w:rsidP="00931A5C">
      <w:pPr>
        <w:pStyle w:val="ListParagraph"/>
        <w:numPr>
          <w:ilvl w:val="0"/>
          <w:numId w:val="13"/>
        </w:numPr>
        <w:rPr>
          <w:b/>
        </w:rPr>
      </w:pPr>
      <w:r>
        <w:t xml:space="preserve">Clindamycin works primarily by binding to the 50s ribosomal subunit of bacteria. This agent disrupts protein synthesis by interfering with the </w:t>
      </w:r>
      <w:proofErr w:type="spellStart"/>
      <w:r>
        <w:t>transpeptidation</w:t>
      </w:r>
      <w:proofErr w:type="spellEnd"/>
      <w:r>
        <w:t xml:space="preserve"> reaction,</w:t>
      </w:r>
      <w:r w:rsidR="003E68C8">
        <w:t xml:space="preserve"> which thereby inhibits early chain elongation. </w:t>
      </w:r>
    </w:p>
    <w:p w:rsidR="003E68C8" w:rsidRPr="003E68C8" w:rsidRDefault="003E68C8" w:rsidP="00931A5C">
      <w:pPr>
        <w:pStyle w:val="ListParagraph"/>
        <w:numPr>
          <w:ilvl w:val="0"/>
          <w:numId w:val="13"/>
        </w:numPr>
        <w:rPr>
          <w:b/>
        </w:rPr>
      </w:pPr>
      <w:proofErr w:type="spellStart"/>
      <w:r>
        <w:t>Climdamycin</w:t>
      </w:r>
      <w:proofErr w:type="spellEnd"/>
      <w:r>
        <w:t xml:space="preserve"> may potentiate the </w:t>
      </w:r>
      <w:proofErr w:type="spellStart"/>
      <w:r>
        <w:t>opsonization</w:t>
      </w:r>
      <w:proofErr w:type="spellEnd"/>
      <w:r>
        <w:t xml:space="preserve"> and phagocytosis of bacteria even at </w:t>
      </w:r>
      <w:proofErr w:type="spellStart"/>
      <w:r>
        <w:t>subinhibitory</w:t>
      </w:r>
      <w:proofErr w:type="spellEnd"/>
      <w:r>
        <w:t xml:space="preserve"> concentrations. By disrupting bacterial protein synthesis, clindamycin causes changes </w:t>
      </w:r>
      <w:proofErr w:type="gramStart"/>
      <w:r>
        <w:t>In</w:t>
      </w:r>
      <w:proofErr w:type="gramEnd"/>
      <w:r>
        <w:t xml:space="preserve"> the cell wall surface, which decreases adherence of bacteria to host cells and increases intracellular killing of organisms. The drug also exerts an extended </w:t>
      </w:r>
      <w:proofErr w:type="spellStart"/>
      <w:r>
        <w:t>postantibiotic</w:t>
      </w:r>
      <w:proofErr w:type="spellEnd"/>
      <w:r>
        <w:t xml:space="preserve"> effect against some strains of bacteria, which may be attributed to persistence of the drug at the ribosomal binding site.</w:t>
      </w:r>
    </w:p>
    <w:p w:rsidR="003E68C8" w:rsidRDefault="003E68C8" w:rsidP="003E68C8">
      <w:pPr>
        <w:pStyle w:val="ListParagraph"/>
        <w:numPr>
          <w:ilvl w:val="0"/>
          <w:numId w:val="15"/>
        </w:numPr>
      </w:pPr>
      <w:r>
        <w:t>DOXYCYCLINE</w:t>
      </w:r>
    </w:p>
    <w:p w:rsidR="003E68C8" w:rsidRDefault="003E68C8" w:rsidP="003E68C8">
      <w:r>
        <w:rPr>
          <w:b/>
        </w:rPr>
        <w:t>Mechanism of action:</w:t>
      </w:r>
    </w:p>
    <w:p w:rsidR="003E68C8" w:rsidRPr="003E68C8" w:rsidRDefault="00412B55" w:rsidP="003E68C8">
      <w:pPr>
        <w:pStyle w:val="ListParagraph"/>
        <w:numPr>
          <w:ilvl w:val="0"/>
          <w:numId w:val="16"/>
        </w:numPr>
      </w:pPr>
      <w:r>
        <w:t>Acts to inhibit the process of protein synthesis by binding to the 30S ribosomal subunit thus preventing the 50s and 30s unit from bonding. Doxycycline has bacteriostatic activity against a broad range of Gram-positive and Gram-negative bacteria.</w:t>
      </w:r>
      <w:bookmarkStart w:id="0" w:name="_GoBack"/>
      <w:bookmarkEnd w:id="0"/>
    </w:p>
    <w:sectPr w:rsidR="003E68C8" w:rsidRPr="003E6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19C"/>
    <w:multiLevelType w:val="hybridMultilevel"/>
    <w:tmpl w:val="2CF0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DAF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42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A0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42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E5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89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A4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680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C86F53"/>
    <w:multiLevelType w:val="hybridMultilevel"/>
    <w:tmpl w:val="33BC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E138D"/>
    <w:multiLevelType w:val="hybridMultilevel"/>
    <w:tmpl w:val="6B7E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C32A8"/>
    <w:multiLevelType w:val="hybridMultilevel"/>
    <w:tmpl w:val="1F18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23C45"/>
    <w:multiLevelType w:val="hybridMultilevel"/>
    <w:tmpl w:val="B44E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C6997"/>
    <w:multiLevelType w:val="hybridMultilevel"/>
    <w:tmpl w:val="02221112"/>
    <w:lvl w:ilvl="0" w:tplc="7F10214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FB79ED"/>
    <w:multiLevelType w:val="hybridMultilevel"/>
    <w:tmpl w:val="9F5A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0090B"/>
    <w:multiLevelType w:val="hybridMultilevel"/>
    <w:tmpl w:val="0C6CD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C4AD0"/>
    <w:multiLevelType w:val="hybridMultilevel"/>
    <w:tmpl w:val="8D080D92"/>
    <w:lvl w:ilvl="0" w:tplc="0F5A6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A6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8B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07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C8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C4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89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CA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A4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D634D7"/>
    <w:multiLevelType w:val="hybridMultilevel"/>
    <w:tmpl w:val="B08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806C9"/>
    <w:multiLevelType w:val="hybridMultilevel"/>
    <w:tmpl w:val="5022A99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95EF7"/>
    <w:multiLevelType w:val="hybridMultilevel"/>
    <w:tmpl w:val="73A4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A28BA"/>
    <w:multiLevelType w:val="hybridMultilevel"/>
    <w:tmpl w:val="8376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41A8D"/>
    <w:multiLevelType w:val="hybridMultilevel"/>
    <w:tmpl w:val="7974D800"/>
    <w:lvl w:ilvl="0" w:tplc="0DE0A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40D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26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A9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EB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01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03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64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C8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E1C7883"/>
    <w:multiLevelType w:val="hybridMultilevel"/>
    <w:tmpl w:val="11622EF8"/>
    <w:lvl w:ilvl="0" w:tplc="69CAC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AB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0B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0D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B44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ED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45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C0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7E6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1144DCD"/>
    <w:multiLevelType w:val="hybridMultilevel"/>
    <w:tmpl w:val="52EA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52676"/>
    <w:multiLevelType w:val="hybridMultilevel"/>
    <w:tmpl w:val="1316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1"/>
  </w:num>
  <w:num w:numId="5">
    <w:abstractNumId w:val="4"/>
  </w:num>
  <w:num w:numId="6">
    <w:abstractNumId w:val="8"/>
  </w:num>
  <w:num w:numId="7">
    <w:abstractNumId w:val="13"/>
  </w:num>
  <w:num w:numId="8">
    <w:abstractNumId w:val="2"/>
  </w:num>
  <w:num w:numId="9">
    <w:abstractNumId w:val="12"/>
  </w:num>
  <w:num w:numId="10">
    <w:abstractNumId w:val="9"/>
  </w:num>
  <w:num w:numId="11">
    <w:abstractNumId w:val="1"/>
  </w:num>
  <w:num w:numId="12">
    <w:abstractNumId w:val="7"/>
  </w:num>
  <w:num w:numId="13">
    <w:abstractNumId w:val="15"/>
  </w:num>
  <w:num w:numId="14">
    <w:abstractNumId w:val="5"/>
  </w:num>
  <w:num w:numId="15">
    <w:abstractNumId w:val="10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9D"/>
    <w:rsid w:val="00065AD9"/>
    <w:rsid w:val="0020295F"/>
    <w:rsid w:val="003E68C8"/>
    <w:rsid w:val="00412B55"/>
    <w:rsid w:val="00672420"/>
    <w:rsid w:val="00733E28"/>
    <w:rsid w:val="008721A7"/>
    <w:rsid w:val="00931A5C"/>
    <w:rsid w:val="00A3268B"/>
    <w:rsid w:val="00A35032"/>
    <w:rsid w:val="00A60347"/>
    <w:rsid w:val="00C42A03"/>
    <w:rsid w:val="00CD3595"/>
    <w:rsid w:val="00F1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99D"/>
    <w:pPr>
      <w:ind w:left="720"/>
      <w:contextualSpacing/>
    </w:pPr>
  </w:style>
  <w:style w:type="paragraph" w:customStyle="1" w:styleId="first">
    <w:name w:val="first"/>
    <w:basedOn w:val="Normal"/>
    <w:rsid w:val="0006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065AD9"/>
  </w:style>
  <w:style w:type="paragraph" w:styleId="NormalWeb">
    <w:name w:val="Normal (Web)"/>
    <w:basedOn w:val="Normal"/>
    <w:uiPriority w:val="99"/>
    <w:semiHidden/>
    <w:unhideWhenUsed/>
    <w:rsid w:val="0006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5A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99D"/>
    <w:pPr>
      <w:ind w:left="720"/>
      <w:contextualSpacing/>
    </w:pPr>
  </w:style>
  <w:style w:type="paragraph" w:customStyle="1" w:styleId="first">
    <w:name w:val="first"/>
    <w:basedOn w:val="Normal"/>
    <w:rsid w:val="0006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065AD9"/>
  </w:style>
  <w:style w:type="paragraph" w:styleId="NormalWeb">
    <w:name w:val="Normal (Web)"/>
    <w:basedOn w:val="Normal"/>
    <w:uiPriority w:val="99"/>
    <w:semiHidden/>
    <w:unhideWhenUsed/>
    <w:rsid w:val="0006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5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5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6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7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AF21-AA1D-4E92-948A-87BAC040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ERAGA</dc:creator>
  <cp:lastModifiedBy>MIKE ERAGA</cp:lastModifiedBy>
  <cp:revision>4</cp:revision>
  <dcterms:created xsi:type="dcterms:W3CDTF">2020-04-25T11:04:00Z</dcterms:created>
  <dcterms:modified xsi:type="dcterms:W3CDTF">2020-04-25T19:05:00Z</dcterms:modified>
</cp:coreProperties>
</file>