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NAME: Adegbola Anjolaoluwa Abigael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MATRIC NO: 19/MHS11/007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DEPT: Pharmacy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COLLEGE: MHS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COURSE: BIO 102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Classify plants according to Eichler’s grouping of 1883.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Ind w:w="715" w:type="dxa"/>
        <w:tblLook w:val="0004A0" w:firstRow="1" w:lastRow="0" w:firstColumn="1" w:lastColumn="0" w:noHBand="0" w:noVBand="1"/>
        <w:tblLayout w:type="fixed"/>
      </w:tblPr>
      <w:tblGrid>
        <w:gridCol w:w="3780"/>
        <w:gridCol w:w="43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22"/>
        </w:trPr>
        <w:tc>
          <w:tcPr>
            <w:tcW w:type="dxa" w:w="3780"/>
            <w:cnfStyle w:val="100000000010" w:firstRow="1" w:lastRow="0" w:firstColumn="0" w:lastColumn="0" w:oddVBand="0" w:evenVBand="0" w:oddHBand="0" w:evenHBand="0" w:firstRowFirstColumn="0" w:firstRowLastColumn="0" w:lastRowFirstColumn="1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         DIVISION</w:t>
            </w:r>
          </w:p>
        </w:tc>
        <w:tc>
          <w:tcPr>
            <w:tcW w:type="dxa" w:w="4320"/>
            <w:cnfStyle w:val="100000000001" w:firstRow="1" w:lastRow="0" w:firstColumn="0" w:lastColumn="0" w:oddVBand="0" w:evenVBand="0" w:oddHBand="0" w:evenHBand="0" w:firstRowFirstColumn="0" w:firstRowLastColumn="0" w:lastRowFirstColumn="0" w:lastRowLastColumn="1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                  CLASS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00"/>
        </w:trPr>
        <w:tc>
          <w:tcPr>
            <w:tcW w:type="dxa" w:w="3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Thallophyta</w:t>
            </w:r>
          </w:p>
        </w:tc>
        <w:tc>
          <w:tcPr>
            <w:tcW w:type="dxa" w:w="4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Phycotinae (Algae)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Mycotinae  (Fungi)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47"/>
        </w:trPr>
        <w:tc>
          <w:tcPr>
            <w:tcW w:type="dxa" w:w="3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Bryophyta</w:t>
            </w:r>
          </w:p>
        </w:tc>
        <w:tc>
          <w:tcPr>
            <w:tcW w:type="dxa" w:w="4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Hepaticae (Liverwort)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Musci (Mosses)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205"/>
        </w:trPr>
        <w:tc>
          <w:tcPr>
            <w:tcW w:type="dxa" w:w="37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Pteridophyta</w:t>
            </w:r>
          </w:p>
        </w:tc>
        <w:tc>
          <w:tcPr>
            <w:tcW w:type="dxa" w:w="432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Psilotinate (Psillotum)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Lycopodinae (Lycopodium, Selaginella)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Equisetinae (Horsetails)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Filicinae (Ferns)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55"/>
        </w:trPr>
        <w:tc>
          <w:tcPr>
            <w:tcW w:type="dxa" w:w="37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Spermatozoa</w:t>
            </w:r>
          </w:p>
        </w:tc>
        <w:tc>
          <w:tcPr>
            <w:tcW w:type="dxa" w:w="432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Gymnosperm (Gymnosperms)</w:t>
            </w:r>
          </w:p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position w:val="0"/>
                <w:sz w:val="22"/>
                <w:szCs w:val="22"/>
                <w:rFonts w:ascii="Calibri" w:eastAsia="Calibri" w:hAnsi="Calibri" w:hint="default"/>
              </w:rPr>
            </w:pPr>
            <w:r>
              <w:rPr>
                <w:position w:val="0"/>
                <w:sz w:val="22"/>
                <w:szCs w:val="22"/>
                <w:rFonts w:ascii="Calibri" w:eastAsia="Calibri" w:hAnsi="Calibri" w:hint="default"/>
              </w:rPr>
              <w:t xml:space="preserve">           Angiosperm (Angiosperm)</w:t>
            </w:r>
          </w:p>
        </w:tc>
      </w:tr>
    </w:tbl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How are algae of importance to man?</w:t>
      </w:r>
    </w:p>
    <w:p>
      <w:pPr>
        <w:pStyle w:val="PO26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Certain species are harvested for food for man and as cosmetics.</w:t>
      </w:r>
    </w:p>
    <w:p>
      <w:pPr>
        <w:pStyle w:val="PO26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It serves as thickening agents in ice cream and shampoo, drugs to ward off diseases. </w:t>
      </w:r>
    </w:p>
    <w:p>
      <w:pPr>
        <w:pStyle w:val="PO26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Algae are considered nutritious to man because of their high protein content and high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concentrations of minerals, trace elements and vitamins.</w:t>
      </w:r>
    </w:p>
    <w:p>
      <w:pPr>
        <w:pStyle w:val="PO26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Algae has high iodine content which helps to prevent goitre.</w:t>
      </w:r>
    </w:p>
    <w:p>
      <w:pPr>
        <w:pStyle w:val="PO26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 Algae can also be used to cure and prevents illnesses e.g. cough, gout, hypertension Etc.</w:t>
      </w:r>
    </w:p>
    <w:p>
      <w:pPr>
        <w:pStyle w:val="PO26"/>
        <w:numPr>
          <w:ilvl w:val="0"/>
          <w:numId w:val="3"/>
        </w:numPr>
        <w:jc w:val="left"/>
        <w:spacing w:lineRule="auto" w:line="259" w:before="0" w:after="160"/>
        <w:contextualSpacing w:val="1"/>
        <w:ind w:left="144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Brown algae yields Algnic acid which is used to stabilize emulsions and suspensions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Describe a unicellular form of Algae.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Chlamydomonas represents the unicellular and motile form of green Algae. It is found 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stagnant water usually along with other forms. Flagella are the structure for mobility. The cell is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bounded by a cellulose cell wall; contains organelles e.g. nucleus, mitochondria, stigma (eyespot),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cup-shaped chloroplast, pyrenoid etc. The nucleus carries the genetic programme of the cell; the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stigma it possesses is for photoreception. The mitochondria mediates the elaboration of energy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molecules. Manufactured sugar is processed into starch on the pyrenoid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How does this unicellular alga described in question 3 carry out its reproduction?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 Chlamydomonas, reproduction can either be vegetative (asexual) or sexual.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Vegetative reproduction results in production of daughter cells in which the amount and quality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of genetic material in the nucleus of the mother cell is maintained in the daughter cells. 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Chlamydomonas, a cell about to divide loses its flagella. The cell undergoes mitotic division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leading to two nuclei i.e. two daughter cells (zoospores) are released. Increase in the population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of cells in a colony is achieved by repeated mitotic divisions.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Sexual Reproduction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Certain environmental conditions e.g. lack of nutrients or moisture may trigger the haploid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daughter cells to undergo sexual reproduction. Instead of forming into spores, the haploid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daughter cells form gametes that have two different mating strains which are structurally similar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and are positive and negative strains. Opposite mating strains fuse in a process called isogamy to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form a diploid zygote, which contains two sets of chromosomes. After a period of dormancy,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zygote undergoes meiosis, a type of cell division that reduces the genetic content of a cell by half.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This cell division (i.e. meiosis) produces four genetically unique haploid cells that eventually grow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into mature cells.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Differentiate between the two types of colonial form of algae.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2"/>
          <w:szCs w:val="22"/>
          <w:rFonts w:ascii="Calibri" w:eastAsia="Calibri" w:hAnsi="Calibri" w:hint="default"/>
        </w:rPr>
        <w:t>Pandorina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 usually occurs in water bloom. The colony consists of 16 cells attached to one another.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Each cell has many attributes / features in common with chlamydomonas e.g. nucleus, large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chloroplast, pyrenoid, flagella and stigma. Vegetative reproduction is achieved through 4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successive mitosis division of each of the 16 cells. Sexual reproduction is anisogamous while </w:t>
      </w:r>
      <w:r>
        <w:rPr>
          <w:b w:val="1"/>
          <w:position w:val="0"/>
          <w:sz w:val="22"/>
          <w:szCs w:val="22"/>
          <w:rFonts w:ascii="Calibri" w:eastAsia="Calibri" w:hAnsi="Calibri" w:hint="default"/>
        </w:rPr>
        <w:t xml:space="preserve">Volvox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shows more complex form than Pandorina. There are more cells in the colony, number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may run into thousands and connected with cytoplasmic strands that run through the cells. Not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all cells form new colonies; but the larger cells at the posterior ends (gonida) are the only ones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that divide to form new colonies. Other cells remain vegetative throughout the life of the colony.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Sexual reproduction is oogamus.</w:t>
      </w:r>
    </w:p>
    <w:p>
      <w:pPr>
        <w:pStyle w:val="PO26"/>
        <w:numPr>
          <w:ilvl w:val="0"/>
          <w:numId w:val="2"/>
        </w:numPr>
        <w:jc w:val="left"/>
        <w:spacing w:lineRule="auto" w:line="259" w:before="0" w:after="160"/>
        <w:contextualSpacing w:val="1"/>
        <w:ind w:left="720" w:right="0" w:hanging="36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Describe a named complex form of alga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position w:val="0"/>
          <w:sz w:val="22"/>
          <w:szCs w:val="22"/>
          <w:rFonts w:ascii="Calibri" w:eastAsia="Calibri" w:hAnsi="Calibri" w:hint="default"/>
        </w:rPr>
      </w:pPr>
      <w:r>
        <w:rPr>
          <w:b w:val="1"/>
          <w:position w:val="0"/>
          <w:sz w:val="22"/>
          <w:szCs w:val="22"/>
          <w:rFonts w:ascii="Calibri" w:eastAsia="Calibri" w:hAnsi="Calibri" w:hint="default"/>
        </w:rPr>
        <w:t>FUCUS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 genus of brown algae whose species are often found on rocks in the intertidal zones of the sea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shores. The plant body is flattened, dichotomously-branched thallus with a mid rib, a vegetative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apex, a reproductive apex at maturity) and a multicellular disk (hold fast) with which plant is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attached to rock surface. The plant body also has air bladders which is believed to aid the plant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to float on the water. Various species of Fucus exist; vary in size from a few centimetres to about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2metres in length.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They also vary in terms of whether the sex cells are found in the same sexual chamber or in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different sexual chambers on different plant bodies.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Sexual reproduction is oogamus, sex cells are produced in conceptacles which have openings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(ostioles) on the surface of the thallus.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 the male conceptacles, one of the diploid one of the diploid cells from outgrowth of the wall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of the conceptacles undergoes meiosis, the meiotic product undergo many mitotic divisions to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produce antheridium having 64 cells of which each cell develops into a biflagellate sperm that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swims out of the conceptacle through the ostiole.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In the female conceptacle, similar to the situation in the male conceptacle. It leads to the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production of an 8-celled oogonium – each becomes an egg which is the female sex cell.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Motile sperm cell from the antheridium moves through the ostiole into the female conceptacle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where the eggs are fertilized and diploid zygote are produced.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Apart from the antheridia and oogonia, sterile multicellular filaments (paraphyses) are also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produced in the conceptacles which are dispersed among the antheridial and oogonial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outgrowths and at the entrance into the conceptacles.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position w:val="0"/>
          <w:sz w:val="22"/>
          <w:szCs w:val="22"/>
          <w:rFonts w:ascii="Calibri" w:eastAsia="Calibri" w:hAnsi="Calibri" w:hint="default"/>
        </w:rPr>
        <w:t xml:space="preserve">The diploid zygote germinates into a new dipoid </w:t>
      </w:r>
      <w:r>
        <w:rPr>
          <w:i w:val="1"/>
          <w:position w:val="0"/>
          <w:sz w:val="22"/>
          <w:szCs w:val="22"/>
          <w:rFonts w:ascii="Calibri" w:eastAsia="Calibri" w:hAnsi="Calibri" w:hint="default"/>
        </w:rPr>
        <w:t xml:space="preserve">fucus </w:t>
      </w:r>
      <w:r>
        <w:rPr>
          <w:position w:val="0"/>
          <w:sz w:val="22"/>
          <w:szCs w:val="22"/>
          <w:rFonts w:ascii="Calibri" w:eastAsia="Calibri" w:hAnsi="Calibri" w:hint="default"/>
        </w:rPr>
        <w:t xml:space="preserve">plant making the dipoid the dominant </w:t>
      </w:r>
      <w:r>
        <w:rPr>
          <w:position w:val="0"/>
          <w:sz w:val="22"/>
          <w:szCs w:val="22"/>
          <w:rFonts w:ascii="Calibri" w:eastAsia="Calibri" w:hAnsi="Calibri" w:hint="default"/>
        </w:rPr>
        <w:t>generation.</w:t>
      </w:r>
    </w:p>
    <w:sectPr>
      <w:pgSz w:w="12240" w:h="15840"/>
      <w:pgMar w:top="1440" w:left="1440" w:bottom="1440" w:right="144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209B23C3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263F55B4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">
    <w:multiLevelType w:val="hybridMultilevel"/>
    <w:nsid w:val="000002"/>
    <w:tmpl w:val="5166BA62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5754</Characters>
  <CharactersWithSpaces>0</CharactersWithSpaces>
  <DocSecurity>0</DocSecurity>
  <HyperlinksChanged>false</HyperlinksChanged>
  <Lines>94</Lines>
  <LinksUpToDate>false</LinksUpToDate>
  <Pages>3</Pages>
  <Paragraphs>58</Paragraphs>
  <Words>896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Polaris Office</cp:lastModifiedBy>
  <dcterms:modified xsi:type="dcterms:W3CDTF">2020-04-24T15:23:00Z</dcterms:modified>
</cp:coreProperties>
</file>