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AC07" w14:textId="76C52420" w:rsidR="00EA49BA" w:rsidRPr="00CF5F97"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 xml:space="preserve">NAME: </w:t>
      </w:r>
      <w:r w:rsidR="00CC469C" w:rsidRPr="00CF5F97">
        <w:rPr>
          <w:rFonts w:ascii="Times New Roman" w:hAnsi="Times New Roman" w:cs="Times New Roman"/>
          <w:b/>
          <w:bCs/>
          <w:sz w:val="56"/>
          <w:szCs w:val="56"/>
          <w:lang w:val="en-US"/>
        </w:rPr>
        <w:t>DONALD OTOABASI ASUQUO</w:t>
      </w:r>
    </w:p>
    <w:p w14:paraId="03136AEE" w14:textId="19FB567A" w:rsidR="00EA49BA" w:rsidRPr="00CF5F97"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MATRIC NUMBER: 16/</w:t>
      </w:r>
      <w:r w:rsidR="00CC469C" w:rsidRPr="00CF5F97">
        <w:rPr>
          <w:rFonts w:ascii="Times New Roman" w:hAnsi="Times New Roman" w:cs="Times New Roman"/>
          <w:b/>
          <w:bCs/>
          <w:sz w:val="56"/>
          <w:szCs w:val="56"/>
          <w:lang w:val="en-US"/>
        </w:rPr>
        <w:t>MHS1/050</w:t>
      </w:r>
    </w:p>
    <w:p w14:paraId="1AF9CC88" w14:textId="77777777" w:rsidR="00EA49BA" w:rsidRPr="00CF5F97"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COURSE CODE: ANA 404</w:t>
      </w:r>
    </w:p>
    <w:p w14:paraId="7C284D5B" w14:textId="0407C90E" w:rsidR="00EA49BA" w:rsidRPr="00CF5F97"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COURSE TITLE: INTRODUCTION TO HISTOPATHOLOGY</w:t>
      </w:r>
    </w:p>
    <w:p w14:paraId="312C85A2" w14:textId="3F5F648E" w:rsidR="00EA49BA" w:rsidRPr="00CF5F97" w:rsidRDefault="00EA49BA" w:rsidP="00CF5F97">
      <w:pPr>
        <w:spacing w:before="40" w:after="40"/>
        <w:ind w:left="1134" w:right="1134"/>
        <w:jc w:val="center"/>
        <w:rPr>
          <w:rFonts w:ascii="Times New Roman" w:hAnsi="Times New Roman" w:cs="Times New Roman"/>
          <w:b/>
          <w:bCs/>
          <w:sz w:val="56"/>
          <w:szCs w:val="56"/>
          <w:lang w:val="en-US"/>
        </w:rPr>
      </w:pPr>
      <w:r w:rsidRPr="00CF5F97">
        <w:rPr>
          <w:rFonts w:ascii="Times New Roman" w:hAnsi="Times New Roman" w:cs="Times New Roman"/>
          <w:b/>
          <w:bCs/>
          <w:sz w:val="56"/>
          <w:szCs w:val="56"/>
          <w:lang w:val="en-US"/>
        </w:rPr>
        <w:t>LECTURER: MR. EDEM</w:t>
      </w:r>
      <w:r w:rsidR="00CC469C" w:rsidRPr="00CF5F97">
        <w:rPr>
          <w:rFonts w:ascii="Times New Roman" w:hAnsi="Times New Roman" w:cs="Times New Roman"/>
          <w:b/>
          <w:bCs/>
          <w:sz w:val="56"/>
          <w:szCs w:val="56"/>
          <w:lang w:val="en-US"/>
        </w:rPr>
        <w:t xml:space="preserve"> E EDEM</w:t>
      </w:r>
    </w:p>
    <w:p w14:paraId="2349E985" w14:textId="140F6F25" w:rsidR="00EA49BA" w:rsidRPr="00CF5F97" w:rsidRDefault="00EA49BA" w:rsidP="00CF5F97">
      <w:pPr>
        <w:jc w:val="center"/>
        <w:rPr>
          <w:sz w:val="56"/>
          <w:szCs w:val="56"/>
        </w:rPr>
      </w:pPr>
    </w:p>
    <w:p w14:paraId="2F27A95F" w14:textId="1F996D91" w:rsidR="00EA49BA" w:rsidRPr="00CF5F97" w:rsidRDefault="00EA49BA" w:rsidP="00CF5F97">
      <w:pPr>
        <w:jc w:val="center"/>
        <w:rPr>
          <w:sz w:val="56"/>
          <w:szCs w:val="56"/>
        </w:rPr>
      </w:pPr>
    </w:p>
    <w:p w14:paraId="5C0D1529" w14:textId="7CF1BCA7" w:rsidR="00EA49BA" w:rsidRDefault="00EA49BA"/>
    <w:p w14:paraId="60DF4F0C" w14:textId="71E86D47" w:rsidR="00EA49BA" w:rsidRDefault="00EA49BA"/>
    <w:p w14:paraId="7CB52889" w14:textId="4CE117C4" w:rsidR="00EA49BA" w:rsidRDefault="00EA49BA"/>
    <w:p w14:paraId="725987C0" w14:textId="6FB9D0E0" w:rsidR="00EA49BA" w:rsidRDefault="00EA49BA"/>
    <w:p w14:paraId="468F1297" w14:textId="79C91660" w:rsidR="00EA49BA" w:rsidRPr="008346AE" w:rsidRDefault="00EA49BA" w:rsidP="00233F16">
      <w:pPr>
        <w:jc w:val="center"/>
        <w:rPr>
          <w:sz w:val="32"/>
          <w:szCs w:val="32"/>
        </w:rPr>
      </w:pPr>
    </w:p>
    <w:p w14:paraId="326C53D1" w14:textId="3B2FB35C" w:rsidR="00EA49BA" w:rsidRPr="008346AE" w:rsidRDefault="008346AE" w:rsidP="00233F16">
      <w:pPr>
        <w:jc w:val="center"/>
        <w:rPr>
          <w:sz w:val="32"/>
          <w:szCs w:val="32"/>
        </w:rPr>
      </w:pPr>
      <w:r w:rsidRPr="00233F16">
        <w:rPr>
          <w:b/>
          <w:bCs/>
          <w:sz w:val="32"/>
          <w:szCs w:val="32"/>
        </w:rPr>
        <w:t>Topic</w:t>
      </w:r>
      <w:r>
        <w:rPr>
          <w:sz w:val="32"/>
          <w:szCs w:val="32"/>
        </w:rPr>
        <w:t>:</w:t>
      </w:r>
    </w:p>
    <w:p w14:paraId="03DB12AD" w14:textId="34F5AF24" w:rsidR="00EA49BA" w:rsidRPr="008346AE" w:rsidRDefault="00EA49BA" w:rsidP="00233F16">
      <w:pPr>
        <w:jc w:val="center"/>
        <w:rPr>
          <w:rFonts w:ascii="Times New Roman" w:hAnsi="Times New Roman" w:cs="Times New Roman"/>
          <w:b/>
          <w:bCs/>
          <w:sz w:val="32"/>
          <w:szCs w:val="32"/>
        </w:rPr>
      </w:pPr>
      <w:r w:rsidRPr="008346AE">
        <w:rPr>
          <w:rFonts w:ascii="Times New Roman" w:hAnsi="Times New Roman" w:cs="Times New Roman"/>
          <w:b/>
          <w:bCs/>
          <w:sz w:val="32"/>
          <w:szCs w:val="32"/>
          <w:lang w:val="en-US"/>
        </w:rPr>
        <w:t>T</w:t>
      </w:r>
      <w:r w:rsidRPr="008346AE">
        <w:rPr>
          <w:rFonts w:ascii="Times New Roman" w:hAnsi="Times New Roman" w:cs="Times New Roman"/>
          <w:b/>
          <w:bCs/>
          <w:sz w:val="32"/>
          <w:szCs w:val="32"/>
        </w:rPr>
        <w:t xml:space="preserve">he </w:t>
      </w:r>
      <w:r w:rsidRPr="008346AE">
        <w:rPr>
          <w:rFonts w:ascii="Times New Roman" w:hAnsi="Times New Roman" w:cs="Times New Roman"/>
          <w:b/>
          <w:bCs/>
          <w:sz w:val="32"/>
          <w:szCs w:val="32"/>
          <w:lang w:val="en-US"/>
        </w:rPr>
        <w:t>I</w:t>
      </w:r>
      <w:r w:rsidRPr="008346AE">
        <w:rPr>
          <w:rFonts w:ascii="Times New Roman" w:hAnsi="Times New Roman" w:cs="Times New Roman"/>
          <w:b/>
          <w:bCs/>
          <w:sz w:val="32"/>
          <w:szCs w:val="32"/>
        </w:rPr>
        <w:t xml:space="preserve">nvolvement </w:t>
      </w:r>
      <w:r w:rsidRPr="008346AE">
        <w:rPr>
          <w:rFonts w:ascii="Times New Roman" w:hAnsi="Times New Roman" w:cs="Times New Roman"/>
          <w:b/>
          <w:bCs/>
          <w:sz w:val="32"/>
          <w:szCs w:val="32"/>
          <w:lang w:val="en-US"/>
        </w:rPr>
        <w:t>O</w:t>
      </w:r>
      <w:r w:rsidRPr="008346AE">
        <w:rPr>
          <w:rFonts w:ascii="Times New Roman" w:hAnsi="Times New Roman" w:cs="Times New Roman"/>
          <w:b/>
          <w:bCs/>
          <w:sz w:val="32"/>
          <w:szCs w:val="32"/>
        </w:rPr>
        <w:t xml:space="preserve">f </w:t>
      </w:r>
      <w:r w:rsidRPr="008346AE">
        <w:rPr>
          <w:rFonts w:ascii="Times New Roman" w:hAnsi="Times New Roman" w:cs="Times New Roman"/>
          <w:b/>
          <w:bCs/>
          <w:sz w:val="32"/>
          <w:szCs w:val="32"/>
          <w:lang w:val="en-US"/>
        </w:rPr>
        <w:t>T</w:t>
      </w:r>
      <w:r w:rsidRPr="008346AE">
        <w:rPr>
          <w:rFonts w:ascii="Times New Roman" w:hAnsi="Times New Roman" w:cs="Times New Roman"/>
          <w:b/>
          <w:bCs/>
          <w:sz w:val="32"/>
          <w:szCs w:val="32"/>
        </w:rPr>
        <w:t xml:space="preserve"> and </w:t>
      </w:r>
      <w:r w:rsidRPr="008346AE">
        <w:rPr>
          <w:rFonts w:ascii="Times New Roman" w:hAnsi="Times New Roman" w:cs="Times New Roman"/>
          <w:b/>
          <w:bCs/>
          <w:sz w:val="32"/>
          <w:szCs w:val="32"/>
          <w:lang w:val="en-US"/>
        </w:rPr>
        <w:t>B</w:t>
      </w:r>
      <w:r w:rsidRPr="008346AE">
        <w:rPr>
          <w:rFonts w:ascii="Times New Roman" w:hAnsi="Times New Roman" w:cs="Times New Roman"/>
          <w:b/>
          <w:bCs/>
          <w:sz w:val="32"/>
          <w:szCs w:val="32"/>
        </w:rPr>
        <w:t xml:space="preserve"> </w:t>
      </w:r>
      <w:r w:rsidRPr="008346AE">
        <w:rPr>
          <w:rFonts w:ascii="Times New Roman" w:hAnsi="Times New Roman" w:cs="Times New Roman"/>
          <w:b/>
          <w:bCs/>
          <w:sz w:val="32"/>
          <w:szCs w:val="32"/>
          <w:lang w:val="en-US"/>
        </w:rPr>
        <w:t>L</w:t>
      </w:r>
      <w:r w:rsidRPr="008346AE">
        <w:rPr>
          <w:rFonts w:ascii="Times New Roman" w:hAnsi="Times New Roman" w:cs="Times New Roman"/>
          <w:b/>
          <w:bCs/>
          <w:sz w:val="32"/>
          <w:szCs w:val="32"/>
        </w:rPr>
        <w:t xml:space="preserve">ymphocytes </w:t>
      </w:r>
      <w:r w:rsidRPr="008346AE">
        <w:rPr>
          <w:rFonts w:ascii="Times New Roman" w:hAnsi="Times New Roman" w:cs="Times New Roman"/>
          <w:b/>
          <w:bCs/>
          <w:sz w:val="32"/>
          <w:szCs w:val="32"/>
          <w:lang w:val="en-US"/>
        </w:rPr>
        <w:t>I</w:t>
      </w:r>
      <w:r w:rsidRPr="008346AE">
        <w:rPr>
          <w:rFonts w:ascii="Times New Roman" w:hAnsi="Times New Roman" w:cs="Times New Roman"/>
          <w:b/>
          <w:bCs/>
          <w:sz w:val="32"/>
          <w:szCs w:val="32"/>
        </w:rPr>
        <w:t xml:space="preserve">n </w:t>
      </w:r>
      <w:r w:rsidRPr="008346AE">
        <w:rPr>
          <w:rFonts w:ascii="Times New Roman" w:hAnsi="Times New Roman" w:cs="Times New Roman"/>
          <w:b/>
          <w:bCs/>
          <w:sz w:val="32"/>
          <w:szCs w:val="32"/>
          <w:lang w:val="en-US"/>
        </w:rPr>
        <w:t>T</w:t>
      </w:r>
      <w:r w:rsidRPr="008346AE">
        <w:rPr>
          <w:rFonts w:ascii="Times New Roman" w:hAnsi="Times New Roman" w:cs="Times New Roman"/>
          <w:b/>
          <w:bCs/>
          <w:sz w:val="32"/>
          <w:szCs w:val="32"/>
        </w:rPr>
        <w:t xml:space="preserve">he </w:t>
      </w:r>
      <w:r w:rsidRPr="008346AE">
        <w:rPr>
          <w:rFonts w:ascii="Times New Roman" w:hAnsi="Times New Roman" w:cs="Times New Roman"/>
          <w:b/>
          <w:bCs/>
          <w:sz w:val="32"/>
          <w:szCs w:val="32"/>
          <w:lang w:val="en-US"/>
        </w:rPr>
        <w:t>P</w:t>
      </w:r>
      <w:r w:rsidRPr="008346AE">
        <w:rPr>
          <w:rFonts w:ascii="Times New Roman" w:hAnsi="Times New Roman" w:cs="Times New Roman"/>
          <w:b/>
          <w:bCs/>
          <w:sz w:val="32"/>
          <w:szCs w:val="32"/>
        </w:rPr>
        <w:t xml:space="preserve">athogenesis and </w:t>
      </w:r>
      <w:r w:rsidRPr="008346AE">
        <w:rPr>
          <w:rFonts w:ascii="Times New Roman" w:hAnsi="Times New Roman" w:cs="Times New Roman"/>
          <w:b/>
          <w:bCs/>
          <w:sz w:val="32"/>
          <w:szCs w:val="32"/>
          <w:lang w:val="en-US"/>
        </w:rPr>
        <w:t>P</w:t>
      </w:r>
      <w:r w:rsidRPr="008346AE">
        <w:rPr>
          <w:rFonts w:ascii="Times New Roman" w:hAnsi="Times New Roman" w:cs="Times New Roman"/>
          <w:b/>
          <w:bCs/>
          <w:sz w:val="32"/>
          <w:szCs w:val="32"/>
        </w:rPr>
        <w:t xml:space="preserve">rogression of </w:t>
      </w:r>
      <w:r w:rsidRPr="008346AE">
        <w:rPr>
          <w:rFonts w:ascii="Times New Roman" w:hAnsi="Times New Roman" w:cs="Times New Roman"/>
          <w:b/>
          <w:bCs/>
          <w:sz w:val="32"/>
          <w:szCs w:val="32"/>
          <w:lang w:val="en-US"/>
        </w:rPr>
        <w:t>O</w:t>
      </w:r>
      <w:r w:rsidRPr="008346AE">
        <w:rPr>
          <w:rFonts w:ascii="Times New Roman" w:hAnsi="Times New Roman" w:cs="Times New Roman"/>
          <w:b/>
          <w:bCs/>
          <w:sz w:val="32"/>
          <w:szCs w:val="32"/>
        </w:rPr>
        <w:t xml:space="preserve">steomyelitis and </w:t>
      </w:r>
      <w:r w:rsidRPr="008346AE">
        <w:rPr>
          <w:rFonts w:ascii="Times New Roman" w:hAnsi="Times New Roman" w:cs="Times New Roman"/>
          <w:b/>
          <w:bCs/>
          <w:sz w:val="32"/>
          <w:szCs w:val="32"/>
          <w:lang w:val="en-US"/>
        </w:rPr>
        <w:t>O</w:t>
      </w:r>
      <w:r w:rsidRPr="008346AE">
        <w:rPr>
          <w:rFonts w:ascii="Times New Roman" w:hAnsi="Times New Roman" w:cs="Times New Roman"/>
          <w:b/>
          <w:bCs/>
          <w:sz w:val="32"/>
          <w:szCs w:val="32"/>
        </w:rPr>
        <w:t>steoarthritis</w:t>
      </w:r>
    </w:p>
    <w:p w14:paraId="16748547" w14:textId="504CB7FE" w:rsidR="00EA49BA" w:rsidRDefault="00EA49BA">
      <w:pPr>
        <w:rPr>
          <w:rFonts w:ascii="Times New Roman" w:hAnsi="Times New Roman" w:cs="Times New Roman"/>
          <w:sz w:val="28"/>
          <w:szCs w:val="28"/>
        </w:rPr>
      </w:pPr>
    </w:p>
    <w:p w14:paraId="2A3B62CB" w14:textId="4349BF37" w:rsidR="00EA49BA" w:rsidRDefault="00EA49BA">
      <w:pPr>
        <w:rPr>
          <w:rFonts w:ascii="Times New Roman" w:hAnsi="Times New Roman" w:cs="Times New Roman"/>
          <w:sz w:val="28"/>
          <w:szCs w:val="28"/>
        </w:rPr>
      </w:pPr>
    </w:p>
    <w:p w14:paraId="7F398707" w14:textId="5CFE26E1" w:rsidR="00EA49BA" w:rsidRDefault="00EA49BA">
      <w:pPr>
        <w:rPr>
          <w:rFonts w:ascii="Times New Roman" w:hAnsi="Times New Roman" w:cs="Times New Roman"/>
          <w:sz w:val="28"/>
          <w:szCs w:val="28"/>
        </w:rPr>
      </w:pPr>
    </w:p>
    <w:p w14:paraId="1D267203" w14:textId="66F0A29F" w:rsidR="00EA49BA" w:rsidRDefault="00EA49BA">
      <w:pPr>
        <w:rPr>
          <w:rFonts w:ascii="Times New Roman" w:hAnsi="Times New Roman" w:cs="Times New Roman"/>
          <w:sz w:val="28"/>
          <w:szCs w:val="28"/>
        </w:rPr>
      </w:pPr>
    </w:p>
    <w:p w14:paraId="389B9D2E" w14:textId="44E9CB5F" w:rsidR="00EA49BA" w:rsidRDefault="00EA49BA">
      <w:pPr>
        <w:rPr>
          <w:rFonts w:ascii="Times New Roman" w:hAnsi="Times New Roman" w:cs="Times New Roman"/>
          <w:sz w:val="28"/>
          <w:szCs w:val="28"/>
        </w:rPr>
      </w:pPr>
    </w:p>
    <w:p w14:paraId="582BD74C" w14:textId="24EF6C02" w:rsidR="00EA49BA" w:rsidRDefault="00EA49BA">
      <w:pPr>
        <w:rPr>
          <w:rFonts w:ascii="Times New Roman" w:hAnsi="Times New Roman" w:cs="Times New Roman"/>
          <w:sz w:val="28"/>
          <w:szCs w:val="28"/>
        </w:rPr>
      </w:pPr>
    </w:p>
    <w:p w14:paraId="100F43B3" w14:textId="34A4DBA2" w:rsidR="00EA49BA" w:rsidRDefault="00EA49BA">
      <w:pPr>
        <w:rPr>
          <w:rFonts w:ascii="Times New Roman" w:hAnsi="Times New Roman" w:cs="Times New Roman"/>
          <w:sz w:val="28"/>
          <w:szCs w:val="28"/>
        </w:rPr>
      </w:pPr>
    </w:p>
    <w:p w14:paraId="338A92C5" w14:textId="662D5CE4" w:rsidR="00EA49BA" w:rsidRDefault="00EA49BA">
      <w:pPr>
        <w:rPr>
          <w:rFonts w:ascii="Times New Roman" w:hAnsi="Times New Roman" w:cs="Times New Roman"/>
          <w:sz w:val="28"/>
          <w:szCs w:val="28"/>
        </w:rPr>
      </w:pPr>
    </w:p>
    <w:p w14:paraId="7551820C" w14:textId="52F703CA" w:rsidR="00EA49BA" w:rsidRDefault="00EA49BA">
      <w:pPr>
        <w:rPr>
          <w:rFonts w:ascii="Times New Roman" w:hAnsi="Times New Roman" w:cs="Times New Roman"/>
          <w:sz w:val="28"/>
          <w:szCs w:val="28"/>
        </w:rPr>
      </w:pPr>
    </w:p>
    <w:p w14:paraId="25AFF54E" w14:textId="77777777" w:rsidR="00233F16" w:rsidRDefault="00233F16">
      <w:pPr>
        <w:rPr>
          <w:rFonts w:ascii="Times New Roman" w:hAnsi="Times New Roman" w:cs="Times New Roman"/>
          <w:sz w:val="28"/>
          <w:szCs w:val="28"/>
        </w:rPr>
      </w:pPr>
    </w:p>
    <w:p w14:paraId="606E1B6F" w14:textId="77777777" w:rsidR="00233F16" w:rsidRDefault="00233F16">
      <w:pPr>
        <w:rPr>
          <w:rFonts w:ascii="Times New Roman" w:hAnsi="Times New Roman" w:cs="Times New Roman"/>
          <w:sz w:val="28"/>
          <w:szCs w:val="28"/>
        </w:rPr>
      </w:pPr>
    </w:p>
    <w:p w14:paraId="261956F1" w14:textId="6A6283FB" w:rsidR="00EA49BA" w:rsidRPr="00FD25E2" w:rsidRDefault="00EB247A" w:rsidP="00FD25E2">
      <w:pPr>
        <w:spacing w:line="480" w:lineRule="auto"/>
        <w:jc w:val="both"/>
        <w:rPr>
          <w:rFonts w:ascii="Times New Roman" w:hAnsi="Times New Roman" w:cs="Times New Roman"/>
          <w:b/>
          <w:bCs/>
          <w:sz w:val="28"/>
          <w:szCs w:val="28"/>
        </w:rPr>
      </w:pPr>
      <w:r w:rsidRPr="00FD25E2">
        <w:rPr>
          <w:rFonts w:ascii="Times New Roman" w:hAnsi="Times New Roman" w:cs="Times New Roman"/>
          <w:b/>
          <w:bCs/>
          <w:sz w:val="28"/>
          <w:szCs w:val="28"/>
        </w:rPr>
        <w:lastRenderedPageBreak/>
        <w:t xml:space="preserve">Osteomyelitis </w:t>
      </w:r>
    </w:p>
    <w:p w14:paraId="03C20AC1" w14:textId="462332E7" w:rsidR="00EA49BA" w:rsidRPr="003108DA" w:rsidRDefault="00EA49BA" w:rsidP="00FD25E2">
      <w:pPr>
        <w:spacing w:line="480" w:lineRule="auto"/>
        <w:jc w:val="both"/>
        <w:rPr>
          <w:rFonts w:ascii="Times New Roman" w:hAnsi="Times New Roman" w:cs="Times New Roman"/>
        </w:rPr>
      </w:pPr>
    </w:p>
    <w:p w14:paraId="3EE5F2D9"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Osteomyelitis is inflammation of the bone caused by an infecting organism. Although bone is normally resistant to bacterial colonization, events such as trauma, surgery, the presence of foreign bodies, or the placement of prostheses may disrupt bony integrity and lead to the onset of bone infection. Osteomyelitis can also result from </w:t>
      </w:r>
      <w:proofErr w:type="spellStart"/>
      <w:r w:rsidRPr="003108DA">
        <w:rPr>
          <w:rFonts w:ascii="Times New Roman" w:hAnsi="Times New Roman" w:cs="Times New Roman"/>
        </w:rPr>
        <w:t>hematogenous</w:t>
      </w:r>
      <w:proofErr w:type="spellEnd"/>
      <w:r w:rsidRPr="003108DA">
        <w:rPr>
          <w:rFonts w:ascii="Times New Roman" w:hAnsi="Times New Roman" w:cs="Times New Roman"/>
        </w:rPr>
        <w:t xml:space="preserve"> spread after </w:t>
      </w:r>
      <w:proofErr w:type="spellStart"/>
      <w:r w:rsidRPr="003108DA">
        <w:rPr>
          <w:rFonts w:ascii="Times New Roman" w:hAnsi="Times New Roman" w:cs="Times New Roman"/>
        </w:rPr>
        <w:t>bacteremia</w:t>
      </w:r>
      <w:proofErr w:type="spellEnd"/>
      <w:r w:rsidRPr="003108DA">
        <w:rPr>
          <w:rFonts w:ascii="Times New Roman" w:hAnsi="Times New Roman" w:cs="Times New Roman"/>
        </w:rPr>
        <w:t>. When prosthetic joints are associated with infection, microorganisms typically grow in biofilm, which protects bacteria from antimicrobial treatment and the host immune response</w:t>
      </w:r>
    </w:p>
    <w:p w14:paraId="16A25051"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.Symptoms may include pain in a specific bone with overlying redness, fever, and </w:t>
      </w:r>
      <w:proofErr w:type="spellStart"/>
      <w:r w:rsidRPr="003108DA">
        <w:rPr>
          <w:rFonts w:ascii="Times New Roman" w:hAnsi="Times New Roman" w:cs="Times New Roman"/>
        </w:rPr>
        <w:t>weakness.The</w:t>
      </w:r>
      <w:proofErr w:type="spellEnd"/>
      <w:r w:rsidRPr="003108DA">
        <w:rPr>
          <w:rFonts w:ascii="Times New Roman" w:hAnsi="Times New Roman" w:cs="Times New Roman"/>
        </w:rPr>
        <w:t xml:space="preserve"> long bones of the arms and legs are most commonly involved in children, while the feet, spine, and hips are most commonly involved in adults.</w:t>
      </w:r>
    </w:p>
    <w:p w14:paraId="6BEFF2F6"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The cause is usually a bacterial infection, but rarely can be a fungal infection. It may occur by spread from the blood or from surrounding tissue.(Schmitt, SK et al .,2017)Risks for developing osteomyelitis include diabetes, intravenous drug use, prior removal of the spleen, and trauma to the area. Diagnosis is typically suspected based on symptoms. This is then supported by blood tests, medical imaging, or bone biopsy.</w:t>
      </w:r>
    </w:p>
    <w:p w14:paraId="6F48C8C4" w14:textId="77777777" w:rsidR="00EB247A" w:rsidRPr="003108DA" w:rsidRDefault="00EB247A" w:rsidP="00FD25E2">
      <w:pPr>
        <w:spacing w:line="480" w:lineRule="auto"/>
        <w:jc w:val="both"/>
        <w:rPr>
          <w:rFonts w:ascii="Times New Roman" w:hAnsi="Times New Roman" w:cs="Times New Roman"/>
        </w:rPr>
      </w:pPr>
    </w:p>
    <w:p w14:paraId="564AFBB7"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Treatment often involves both antimicrobials and </w:t>
      </w:r>
      <w:proofErr w:type="spellStart"/>
      <w:r w:rsidRPr="003108DA">
        <w:rPr>
          <w:rFonts w:ascii="Times New Roman" w:hAnsi="Times New Roman" w:cs="Times New Roman"/>
        </w:rPr>
        <w:t>surgery.In</w:t>
      </w:r>
      <w:proofErr w:type="spellEnd"/>
      <w:r w:rsidRPr="003108DA">
        <w:rPr>
          <w:rFonts w:ascii="Times New Roman" w:hAnsi="Times New Roman" w:cs="Times New Roman"/>
        </w:rPr>
        <w:t xml:space="preserve"> those with poor blood flow, amputation may be required. Treatment outcomes are generally good when the condition has only been present a short time. About 2.4 per 100,000 people are affected a </w:t>
      </w:r>
      <w:proofErr w:type="spellStart"/>
      <w:r w:rsidRPr="003108DA">
        <w:rPr>
          <w:rFonts w:ascii="Times New Roman" w:hAnsi="Times New Roman" w:cs="Times New Roman"/>
        </w:rPr>
        <w:t>year.The</w:t>
      </w:r>
      <w:proofErr w:type="spellEnd"/>
      <w:r w:rsidRPr="003108DA">
        <w:rPr>
          <w:rFonts w:ascii="Times New Roman" w:hAnsi="Times New Roman" w:cs="Times New Roman"/>
        </w:rPr>
        <w:t xml:space="preserve"> young and old are more commonly </w:t>
      </w:r>
      <w:proofErr w:type="spellStart"/>
      <w:r w:rsidRPr="003108DA">
        <w:rPr>
          <w:rFonts w:ascii="Times New Roman" w:hAnsi="Times New Roman" w:cs="Times New Roman"/>
        </w:rPr>
        <w:t>affected.Males</w:t>
      </w:r>
      <w:proofErr w:type="spellEnd"/>
      <w:r w:rsidRPr="003108DA">
        <w:rPr>
          <w:rFonts w:ascii="Times New Roman" w:hAnsi="Times New Roman" w:cs="Times New Roman"/>
        </w:rPr>
        <w:t xml:space="preserve"> are more commonly affected than females.( </w:t>
      </w:r>
      <w:proofErr w:type="spellStart"/>
      <w:r w:rsidRPr="003108DA">
        <w:rPr>
          <w:rFonts w:ascii="Times New Roman" w:hAnsi="Times New Roman" w:cs="Times New Roman"/>
        </w:rPr>
        <w:t>Ferri</w:t>
      </w:r>
      <w:proofErr w:type="spellEnd"/>
      <w:r w:rsidRPr="003108DA">
        <w:rPr>
          <w:rFonts w:ascii="Times New Roman" w:hAnsi="Times New Roman" w:cs="Times New Roman"/>
        </w:rPr>
        <w:t xml:space="preserve"> et al .,2017)The condition was described at least as early as the 300s BC by </w:t>
      </w:r>
      <w:proofErr w:type="spellStart"/>
      <w:r w:rsidRPr="003108DA">
        <w:rPr>
          <w:rFonts w:ascii="Times New Roman" w:hAnsi="Times New Roman" w:cs="Times New Roman"/>
        </w:rPr>
        <w:t>Hippocrates.Before</w:t>
      </w:r>
      <w:proofErr w:type="spellEnd"/>
      <w:r w:rsidRPr="003108DA">
        <w:rPr>
          <w:rFonts w:ascii="Times New Roman" w:hAnsi="Times New Roman" w:cs="Times New Roman"/>
        </w:rPr>
        <w:t xml:space="preserve"> the availability of antibiotics the risk of death was significant(Brackenridge et al .,2016)</w:t>
      </w:r>
    </w:p>
    <w:p w14:paraId="15A786B5"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 </w:t>
      </w:r>
    </w:p>
    <w:p w14:paraId="56E77E75"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  </w:t>
      </w:r>
    </w:p>
    <w:p w14:paraId="09EB2AE5"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lastRenderedPageBreak/>
        <w:t xml:space="preserve">T cell activation is invariably associated with virus infections, but activation of T cells is also noted, for example, in patients with persistent bacterial infections with intracellular pathogens or localised bacterial biofilms. The latter is characterised by a destructive inflammatory process. Massive infiltration of leukocytes, predominantly of </w:t>
      </w:r>
      <w:proofErr w:type="spellStart"/>
      <w:r w:rsidRPr="003108DA">
        <w:rPr>
          <w:rFonts w:ascii="Times New Roman" w:hAnsi="Times New Roman" w:cs="Times New Roman"/>
        </w:rPr>
        <w:t>polymorphonuclear</w:t>
      </w:r>
      <w:proofErr w:type="spellEnd"/>
      <w:r w:rsidRPr="003108DA">
        <w:rPr>
          <w:rFonts w:ascii="Times New Roman" w:hAnsi="Times New Roman" w:cs="Times New Roman"/>
        </w:rPr>
        <w:t xml:space="preserve"> neutrophils (PMNs) and of T lymphocytes, is seen. While PMN influx into sites of bacterial infection is in line with their role as “first-line defence” a role of T cells in bacterial infection has not yet been delineated. We now found evidence for activation and expansion of peripheral blood T cells and an </w:t>
      </w:r>
      <w:proofErr w:type="spellStart"/>
      <w:r w:rsidRPr="003108DA">
        <w:rPr>
          <w:rFonts w:ascii="Times New Roman" w:hAnsi="Times New Roman" w:cs="Times New Roman"/>
        </w:rPr>
        <w:t>upregulation</w:t>
      </w:r>
      <w:proofErr w:type="spellEnd"/>
      <w:r w:rsidRPr="003108DA">
        <w:rPr>
          <w:rFonts w:ascii="Times New Roman" w:hAnsi="Times New Roman" w:cs="Times New Roman"/>
        </w:rPr>
        <w:t xml:space="preserve"> of Toll-like receptors 1, 2, and 4 on small portions of T cells. T cells recovered from the infected site were terminally differentiated and produced interferon gamma, a cytokine known to enhance functions of phagocytic cells, leading to the conclusion that infiltrated T cells support the local </w:t>
      </w:r>
      <w:proofErr w:type="spellStart"/>
      <w:r w:rsidRPr="003108DA">
        <w:rPr>
          <w:rFonts w:ascii="Times New Roman" w:hAnsi="Times New Roman" w:cs="Times New Roman"/>
        </w:rPr>
        <w:t>immuner</w:t>
      </w:r>
      <w:proofErr w:type="spellEnd"/>
      <w:r w:rsidRPr="003108DA">
        <w:rPr>
          <w:rFonts w:ascii="Times New Roman" w:hAnsi="Times New Roman" w:cs="Times New Roman"/>
        </w:rPr>
        <w:t xml:space="preserve"> defence.</w:t>
      </w:r>
    </w:p>
    <w:p w14:paraId="1DD9453F" w14:textId="77777777" w:rsidR="00EB247A" w:rsidRPr="003108DA" w:rsidRDefault="00EB247A" w:rsidP="00FD25E2">
      <w:pPr>
        <w:spacing w:line="480" w:lineRule="auto"/>
        <w:jc w:val="both"/>
        <w:rPr>
          <w:rFonts w:ascii="Times New Roman" w:hAnsi="Times New Roman" w:cs="Times New Roman"/>
        </w:rPr>
      </w:pPr>
    </w:p>
    <w:p w14:paraId="33424240" w14:textId="417B03DE" w:rsidR="00EB247A" w:rsidRPr="003108DA" w:rsidRDefault="0020210E" w:rsidP="00FD25E2">
      <w:pPr>
        <w:spacing w:line="480" w:lineRule="auto"/>
        <w:jc w:val="both"/>
        <w:rPr>
          <w:rFonts w:ascii="Times New Roman" w:hAnsi="Times New Roman" w:cs="Times New Roman"/>
          <w:b/>
          <w:bCs/>
        </w:rPr>
      </w:pPr>
      <w:r w:rsidRPr="003108DA">
        <w:rPr>
          <w:rFonts w:ascii="Times New Roman" w:hAnsi="Times New Roman" w:cs="Times New Roman"/>
          <w:b/>
          <w:bCs/>
        </w:rPr>
        <w:t>I</w:t>
      </w:r>
      <w:r w:rsidR="00EB247A" w:rsidRPr="003108DA">
        <w:rPr>
          <w:rFonts w:ascii="Times New Roman" w:hAnsi="Times New Roman" w:cs="Times New Roman"/>
          <w:b/>
          <w:bCs/>
        </w:rPr>
        <w:t>ntroduction</w:t>
      </w:r>
    </w:p>
    <w:p w14:paraId="0FF46C37"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Activation and expansion of T lymphocytes is invariably associated with the immune response to virus infection, and the clearance of virus-infected cells. Activation of T cells, however, is also seen in bacterial infection, particularly in those caused by intracellular bacteria (J. T. </w:t>
      </w:r>
      <w:proofErr w:type="spellStart"/>
      <w:r w:rsidRPr="003108DA">
        <w:rPr>
          <w:rFonts w:ascii="Times New Roman" w:hAnsi="Times New Roman" w:cs="Times New Roman"/>
        </w:rPr>
        <w:t>Harty</w:t>
      </w:r>
      <w:proofErr w:type="spellEnd"/>
      <w:r w:rsidRPr="003108DA">
        <w:rPr>
          <w:rFonts w:ascii="Times New Roman" w:hAnsi="Times New Roman" w:cs="Times New Roman"/>
        </w:rPr>
        <w:t xml:space="preserve"> et al .,2000)and—as we showed recently—in patients with implant-associated osteomyelitis, a prototype of a biofilm infection (C. Wagner et al .,2006)</w:t>
      </w:r>
    </w:p>
    <w:p w14:paraId="2EE84117"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Bacterial biofilms are increasingly recognised as the cause for persistent and destructive inflammatory processes (J. W. </w:t>
      </w:r>
      <w:proofErr w:type="spellStart"/>
      <w:r w:rsidRPr="003108DA">
        <w:rPr>
          <w:rFonts w:ascii="Times New Roman" w:hAnsi="Times New Roman" w:cs="Times New Roman"/>
        </w:rPr>
        <w:t>Costerton</w:t>
      </w:r>
      <w:proofErr w:type="spellEnd"/>
      <w:r w:rsidRPr="003108DA">
        <w:rPr>
          <w:rFonts w:ascii="Times New Roman" w:hAnsi="Times New Roman" w:cs="Times New Roman"/>
        </w:rPr>
        <w:t xml:space="preserve"> et al.,1999) . According to </w:t>
      </w:r>
      <w:proofErr w:type="spellStart"/>
      <w:r w:rsidRPr="003108DA">
        <w:rPr>
          <w:rFonts w:ascii="Times New Roman" w:hAnsi="Times New Roman" w:cs="Times New Roman"/>
        </w:rPr>
        <w:t>Donlan</w:t>
      </w:r>
      <w:proofErr w:type="spellEnd"/>
      <w:r w:rsidRPr="003108DA">
        <w:rPr>
          <w:rFonts w:ascii="Times New Roman" w:hAnsi="Times New Roman" w:cs="Times New Roman"/>
        </w:rPr>
        <w:t xml:space="preserve"> and </w:t>
      </w:r>
      <w:proofErr w:type="spellStart"/>
      <w:r w:rsidRPr="003108DA">
        <w:rPr>
          <w:rFonts w:ascii="Times New Roman" w:hAnsi="Times New Roman" w:cs="Times New Roman"/>
        </w:rPr>
        <w:t>Costerton</w:t>
      </w:r>
      <w:proofErr w:type="spellEnd"/>
      <w:r w:rsidRPr="003108DA">
        <w:rPr>
          <w:rFonts w:ascii="Times New Roman" w:hAnsi="Times New Roman" w:cs="Times New Roman"/>
        </w:rPr>
        <w:t xml:space="preserve"> (R. M. </w:t>
      </w:r>
      <w:proofErr w:type="spellStart"/>
      <w:r w:rsidRPr="003108DA">
        <w:rPr>
          <w:rFonts w:ascii="Times New Roman" w:hAnsi="Times New Roman" w:cs="Times New Roman"/>
        </w:rPr>
        <w:t>Donlan</w:t>
      </w:r>
      <w:proofErr w:type="spellEnd"/>
      <w:r w:rsidRPr="003108DA">
        <w:rPr>
          <w:rFonts w:ascii="Times New Roman" w:hAnsi="Times New Roman" w:cs="Times New Roman"/>
        </w:rPr>
        <w:t xml:space="preserve"> et al .,2002)biofilms are defined as “microbial derived sessile communities characterised by cells that are irreversibly attached to a substratum or interface or to each other, embedded in a matrix of extracellular polymeric substances that they have produced, and exhibit an altered phenotype with respect to growth rate and gene transcription.” It is generally assumed that bacteria in biofilms escape the host defence. In vitro data suggest that bacteria in biofilms as not as susceptible to the phagocytic effector functions as their planktonic living </w:t>
      </w:r>
      <w:r w:rsidRPr="003108DA">
        <w:rPr>
          <w:rFonts w:ascii="Times New Roman" w:hAnsi="Times New Roman" w:cs="Times New Roman"/>
        </w:rPr>
        <w:lastRenderedPageBreak/>
        <w:t xml:space="preserve">counterparts ( J. G. </w:t>
      </w:r>
      <w:proofErr w:type="spellStart"/>
      <w:r w:rsidRPr="003108DA">
        <w:rPr>
          <w:rFonts w:ascii="Times New Roman" w:hAnsi="Times New Roman" w:cs="Times New Roman"/>
        </w:rPr>
        <w:t>Leid</w:t>
      </w:r>
      <w:proofErr w:type="spellEnd"/>
      <w:r w:rsidRPr="003108DA">
        <w:rPr>
          <w:rFonts w:ascii="Times New Roman" w:hAnsi="Times New Roman" w:cs="Times New Roman"/>
        </w:rPr>
        <w:t xml:space="preserve"> et al .,2002)there is, however, no doubt that biofilms are not entirely protected (F. </w:t>
      </w:r>
      <w:proofErr w:type="spellStart"/>
      <w:r w:rsidRPr="003108DA">
        <w:rPr>
          <w:rFonts w:ascii="Times New Roman" w:hAnsi="Times New Roman" w:cs="Times New Roman"/>
        </w:rPr>
        <w:t>Günther</w:t>
      </w:r>
      <w:proofErr w:type="spellEnd"/>
      <w:r w:rsidRPr="003108DA">
        <w:rPr>
          <w:rFonts w:ascii="Times New Roman" w:hAnsi="Times New Roman" w:cs="Times New Roman"/>
        </w:rPr>
        <w:t xml:space="preserve"> et al .,2009)and that biofilm infection elicit an activation of the immune response with an infiltration into the infected site of leukocytes, predominantly of </w:t>
      </w:r>
      <w:proofErr w:type="spellStart"/>
      <w:r w:rsidRPr="003108DA">
        <w:rPr>
          <w:rFonts w:ascii="Times New Roman" w:hAnsi="Times New Roman" w:cs="Times New Roman"/>
        </w:rPr>
        <w:t>polymorphonuclear</w:t>
      </w:r>
      <w:proofErr w:type="spellEnd"/>
      <w:r w:rsidRPr="003108DA">
        <w:rPr>
          <w:rFonts w:ascii="Times New Roman" w:hAnsi="Times New Roman" w:cs="Times New Roman"/>
        </w:rPr>
        <w:t xml:space="preserve"> neutrophils (PMNs) and T lymphocytes(F. Zimmermann et al .,2013)</w:t>
      </w:r>
    </w:p>
    <w:p w14:paraId="1F15D14B" w14:textId="77777777" w:rsidR="00EB247A" w:rsidRPr="003108DA" w:rsidRDefault="00EB247A" w:rsidP="00FD25E2">
      <w:pPr>
        <w:spacing w:line="480" w:lineRule="auto"/>
        <w:jc w:val="both"/>
        <w:rPr>
          <w:rFonts w:ascii="Times New Roman" w:hAnsi="Times New Roman" w:cs="Times New Roman"/>
        </w:rPr>
      </w:pPr>
    </w:p>
    <w:p w14:paraId="230AFE18" w14:textId="77777777" w:rsidR="00EB247A" w:rsidRPr="003108DA" w:rsidRDefault="00EB247A" w:rsidP="00FD25E2">
      <w:pPr>
        <w:spacing w:line="480" w:lineRule="auto"/>
        <w:jc w:val="both"/>
        <w:rPr>
          <w:rFonts w:ascii="Times New Roman" w:hAnsi="Times New Roman" w:cs="Times New Roman"/>
        </w:rPr>
      </w:pPr>
      <w:r w:rsidRPr="003108DA">
        <w:rPr>
          <w:rFonts w:ascii="Times New Roman" w:hAnsi="Times New Roman" w:cs="Times New Roman"/>
        </w:rPr>
        <w:t xml:space="preserve">While the participation of PMN in the defence against bacterial infection and in the acute inflammatory response is well understood, a role for T cells has not yet been delineated, nor is it known how T cells recognise bacteria. In that context, the aim of the present study was to analyse T cells of patients with persistent bacterial infections with regard to expression of activation-associated receptors on T cells, particularly of Toll-like receptors (TLRs) on. TLRs recognise conserved microbial structures including lipopolysaccharides (LPSs), </w:t>
      </w:r>
      <w:proofErr w:type="spellStart"/>
      <w:r w:rsidRPr="003108DA">
        <w:rPr>
          <w:rFonts w:ascii="Times New Roman" w:hAnsi="Times New Roman" w:cs="Times New Roman"/>
        </w:rPr>
        <w:t>lipoteichoic</w:t>
      </w:r>
      <w:proofErr w:type="spellEnd"/>
      <w:r w:rsidRPr="003108DA">
        <w:rPr>
          <w:rFonts w:ascii="Times New Roman" w:hAnsi="Times New Roman" w:cs="Times New Roman"/>
        </w:rPr>
        <w:t xml:space="preserve"> acid (LTA), </w:t>
      </w:r>
      <w:proofErr w:type="spellStart"/>
      <w:r w:rsidRPr="003108DA">
        <w:rPr>
          <w:rFonts w:ascii="Times New Roman" w:hAnsi="Times New Roman" w:cs="Times New Roman"/>
        </w:rPr>
        <w:t>lipopeptides</w:t>
      </w:r>
      <w:proofErr w:type="spellEnd"/>
      <w:r w:rsidRPr="003108DA">
        <w:rPr>
          <w:rFonts w:ascii="Times New Roman" w:hAnsi="Times New Roman" w:cs="Times New Roman"/>
        </w:rPr>
        <w:t xml:space="preserve">, or bacterial DNA and RNA. As the so-called “pattern recognition receptors” TLRs are primarily studied on cells of the innate immune response; however, TLR are also detected on T cells, and a modulatory function of the specific, adaptive immune response via TLRs is presumed ( T. </w:t>
      </w:r>
      <w:proofErr w:type="spellStart"/>
      <w:r w:rsidRPr="003108DA">
        <w:rPr>
          <w:rFonts w:ascii="Times New Roman" w:hAnsi="Times New Roman" w:cs="Times New Roman"/>
        </w:rPr>
        <w:t>Imanishi</w:t>
      </w:r>
      <w:proofErr w:type="spellEnd"/>
      <w:r w:rsidRPr="003108DA">
        <w:rPr>
          <w:rFonts w:ascii="Times New Roman" w:hAnsi="Times New Roman" w:cs="Times New Roman"/>
        </w:rPr>
        <w:t xml:space="preserve"> et al .,2007).We focussed on TLR1, TLR2, and TLR4, because these receptors alone or in combination recognise the bacterial products LTA or LPS which might be present at the site of infection. Moreover, to further characterise T cells we determined surface receptors known to be associated with activation, such as CD11b and CD57, as well as production of interferon gamma, a cytokine known for its capacity to activate phagocytic cells.</w:t>
      </w:r>
    </w:p>
    <w:p w14:paraId="5D2313CE" w14:textId="25BBB7A7" w:rsidR="00EA49BA" w:rsidRPr="003108DA" w:rsidRDefault="00EA49BA" w:rsidP="00FD25E2">
      <w:pPr>
        <w:spacing w:line="480" w:lineRule="auto"/>
        <w:jc w:val="both"/>
        <w:rPr>
          <w:rFonts w:ascii="Times New Roman" w:hAnsi="Times New Roman" w:cs="Times New Roman"/>
        </w:rPr>
      </w:pPr>
    </w:p>
    <w:p w14:paraId="2D815823" w14:textId="561F01B8" w:rsidR="00EA49BA" w:rsidRPr="003108DA" w:rsidRDefault="00EA49BA" w:rsidP="00FD25E2">
      <w:pPr>
        <w:spacing w:line="480" w:lineRule="auto"/>
        <w:jc w:val="both"/>
        <w:rPr>
          <w:rFonts w:ascii="Times New Roman" w:hAnsi="Times New Roman" w:cs="Times New Roman"/>
        </w:rPr>
      </w:pPr>
    </w:p>
    <w:p w14:paraId="7E91C2DC" w14:textId="38ED7C04" w:rsidR="00EA49BA" w:rsidRPr="003108DA" w:rsidRDefault="00EA49BA" w:rsidP="00FD25E2">
      <w:pPr>
        <w:spacing w:line="480" w:lineRule="auto"/>
        <w:jc w:val="both"/>
        <w:rPr>
          <w:rFonts w:ascii="Times New Roman" w:hAnsi="Times New Roman" w:cs="Times New Roman"/>
        </w:rPr>
      </w:pPr>
    </w:p>
    <w:p w14:paraId="09BB764E" w14:textId="77B6416F" w:rsidR="00EA49BA" w:rsidRDefault="00EA49BA" w:rsidP="00FD25E2">
      <w:pPr>
        <w:spacing w:line="480" w:lineRule="auto"/>
        <w:jc w:val="both"/>
        <w:rPr>
          <w:rFonts w:ascii="Times New Roman" w:hAnsi="Times New Roman" w:cs="Times New Roman"/>
          <w:sz w:val="28"/>
          <w:szCs w:val="28"/>
        </w:rPr>
      </w:pPr>
    </w:p>
    <w:p w14:paraId="61910FA6" w14:textId="15123B9C" w:rsidR="00EA49BA" w:rsidRDefault="00EA49BA" w:rsidP="00FD25E2">
      <w:pPr>
        <w:spacing w:line="480" w:lineRule="auto"/>
        <w:jc w:val="both"/>
        <w:rPr>
          <w:rFonts w:ascii="Times New Roman" w:hAnsi="Times New Roman" w:cs="Times New Roman"/>
          <w:sz w:val="28"/>
          <w:szCs w:val="28"/>
        </w:rPr>
      </w:pPr>
    </w:p>
    <w:p w14:paraId="06C5B409" w14:textId="44E7CF5D" w:rsidR="00EA49BA" w:rsidRDefault="00EA49BA" w:rsidP="00FD25E2">
      <w:pPr>
        <w:spacing w:line="480" w:lineRule="auto"/>
        <w:jc w:val="both"/>
        <w:rPr>
          <w:rFonts w:ascii="Times New Roman" w:hAnsi="Times New Roman" w:cs="Times New Roman"/>
          <w:lang w:val="en-US"/>
        </w:rPr>
      </w:pPr>
    </w:p>
    <w:p w14:paraId="788CF56B" w14:textId="52B0122A" w:rsidR="00EA49BA" w:rsidRDefault="00EA49BA" w:rsidP="00FD25E2">
      <w:pPr>
        <w:spacing w:line="480" w:lineRule="auto"/>
        <w:jc w:val="both"/>
        <w:rPr>
          <w:rFonts w:ascii="Times New Roman" w:hAnsi="Times New Roman" w:cs="Times New Roman"/>
          <w:lang w:val="en-US"/>
        </w:rPr>
      </w:pPr>
    </w:p>
    <w:p w14:paraId="47B5BEAF" w14:textId="096DFDC8" w:rsidR="00EA49BA" w:rsidRPr="00FD25E2" w:rsidRDefault="00EA49BA" w:rsidP="00FD25E2">
      <w:pPr>
        <w:spacing w:line="480" w:lineRule="auto"/>
        <w:jc w:val="both"/>
        <w:rPr>
          <w:rFonts w:ascii="Times New Roman" w:hAnsi="Times New Roman" w:cs="Times New Roman"/>
          <w:b/>
          <w:lang w:val="en-US"/>
        </w:rPr>
      </w:pPr>
      <w:proofErr w:type="spellStart"/>
      <w:r w:rsidRPr="00FD25E2">
        <w:rPr>
          <w:rFonts w:ascii="Times New Roman" w:hAnsi="Times New Roman" w:cs="Times New Roman"/>
          <w:b/>
          <w:lang w:val="en-US"/>
        </w:rPr>
        <w:t>Osteoathritis</w:t>
      </w:r>
      <w:proofErr w:type="spellEnd"/>
    </w:p>
    <w:p w14:paraId="5BAD85FF" w14:textId="2AFA6526" w:rsidR="00EA49BA" w:rsidRDefault="00EA49BA" w:rsidP="00FD25E2">
      <w:pPr>
        <w:spacing w:line="480" w:lineRule="auto"/>
        <w:jc w:val="both"/>
        <w:rPr>
          <w:rFonts w:ascii="Times New Roman" w:hAnsi="Times New Roman" w:cs="Times New Roman"/>
          <w:bCs/>
          <w:lang w:val="en-US"/>
        </w:rPr>
      </w:pPr>
    </w:p>
    <w:p w14:paraId="630730A7" w14:textId="6B7EE774" w:rsidR="00EA49BA" w:rsidRDefault="00EA49BA" w:rsidP="00FD25E2">
      <w:pPr>
        <w:spacing w:line="480" w:lineRule="auto"/>
        <w:jc w:val="both"/>
        <w:rPr>
          <w:rFonts w:ascii="Times New Roman" w:hAnsi="Times New Roman" w:cs="Times New Roman"/>
          <w:bCs/>
          <w:lang w:val="en-US"/>
        </w:rPr>
      </w:pPr>
      <w:r w:rsidRPr="00EA49BA">
        <w:rPr>
          <w:rFonts w:ascii="Times New Roman" w:hAnsi="Times New Roman" w:cs="Times New Roman"/>
          <w:bCs/>
          <w:lang w:val="en-US"/>
        </w:rPr>
        <w:t>Osteoarthritis occurs when the cartilage that cushions the ends of bones in your joints gradually deteriorates. Cartilage is a firm, slippery tissue that enables nearly frictionless joint motion. Eventually, if the cartilage wears down completely, bone will rub on bone.</w:t>
      </w:r>
    </w:p>
    <w:p w14:paraId="12D5259D" w14:textId="77777777" w:rsidR="00EA49BA" w:rsidRDefault="00EA49BA" w:rsidP="00FD25E2">
      <w:pPr>
        <w:spacing w:line="480" w:lineRule="auto"/>
        <w:jc w:val="both"/>
        <w:rPr>
          <w:rFonts w:ascii="Times New Roman" w:hAnsi="Times New Roman" w:cs="Times New Roman"/>
          <w:bCs/>
          <w:lang w:val="en-US"/>
        </w:rPr>
      </w:pPr>
      <w:r w:rsidRPr="00EA49BA">
        <w:rPr>
          <w:rFonts w:ascii="Times New Roman" w:hAnsi="Times New Roman" w:cs="Times New Roman"/>
          <w:bCs/>
          <w:lang w:val="en-US"/>
        </w:rPr>
        <w:t xml:space="preserve">Osteoarthritis is the most common form of arthritis, affecting millions of people worldwide. </w:t>
      </w:r>
    </w:p>
    <w:p w14:paraId="17E41A06" w14:textId="77777777" w:rsidR="00EA49BA" w:rsidRDefault="00EA49BA" w:rsidP="00FD25E2">
      <w:pPr>
        <w:spacing w:line="480" w:lineRule="auto"/>
        <w:jc w:val="both"/>
        <w:rPr>
          <w:rFonts w:ascii="Times New Roman" w:hAnsi="Times New Roman" w:cs="Times New Roman"/>
          <w:bCs/>
          <w:lang w:val="en-US"/>
        </w:rPr>
      </w:pPr>
    </w:p>
    <w:p w14:paraId="3B325CCD" w14:textId="1610A705" w:rsidR="00EA49BA" w:rsidRPr="00EA49BA" w:rsidRDefault="00EA49BA" w:rsidP="00FD25E2">
      <w:pPr>
        <w:spacing w:line="480" w:lineRule="auto"/>
        <w:jc w:val="both"/>
        <w:rPr>
          <w:rFonts w:ascii="Times New Roman" w:hAnsi="Times New Roman" w:cs="Times New Roman"/>
          <w:bCs/>
          <w:lang w:val="en-US"/>
        </w:rPr>
      </w:pPr>
      <w:r w:rsidRPr="00EA49BA">
        <w:rPr>
          <w:rFonts w:ascii="Times New Roman" w:hAnsi="Times New Roman" w:cs="Times New Roman"/>
          <w:bCs/>
          <w:lang w:val="en-US"/>
        </w:rPr>
        <w:t>It occurs when the protective cartilage that cushions the ends of your bones wears down over time.</w:t>
      </w:r>
    </w:p>
    <w:p w14:paraId="7E824E63" w14:textId="161EFFBD" w:rsidR="00EA49BA" w:rsidRPr="00EA49BA" w:rsidRDefault="00EA49BA" w:rsidP="00FD25E2">
      <w:pPr>
        <w:spacing w:line="480" w:lineRule="auto"/>
        <w:jc w:val="both"/>
        <w:rPr>
          <w:rFonts w:ascii="Times New Roman" w:hAnsi="Times New Roman" w:cs="Times New Roman"/>
          <w:bCs/>
          <w:lang w:val="en-US"/>
        </w:rPr>
      </w:pPr>
      <w:r w:rsidRPr="00EA49BA">
        <w:rPr>
          <w:rFonts w:ascii="Times New Roman" w:hAnsi="Times New Roman" w:cs="Times New Roman"/>
          <w:bCs/>
          <w:lang w:val="en-US"/>
        </w:rPr>
        <w:t>Although osteoarthritis can damage any joint, the disorder most commonly affects joints in your hands, knees, hips and spine.</w:t>
      </w:r>
    </w:p>
    <w:p w14:paraId="159295DD" w14:textId="77777777" w:rsidR="00EA49BA" w:rsidRPr="00EA49BA" w:rsidRDefault="00EA49BA" w:rsidP="00FD25E2">
      <w:pPr>
        <w:spacing w:line="480" w:lineRule="auto"/>
        <w:jc w:val="both"/>
        <w:rPr>
          <w:rFonts w:ascii="Times New Roman" w:hAnsi="Times New Roman" w:cs="Times New Roman"/>
          <w:lang w:val="en-US"/>
        </w:rPr>
      </w:pPr>
    </w:p>
    <w:p w14:paraId="6730F163" w14:textId="24C71C4B" w:rsidR="00EA49BA" w:rsidRPr="00FD25E2" w:rsidRDefault="00EA49BA" w:rsidP="00FD25E2">
      <w:pPr>
        <w:spacing w:line="480" w:lineRule="auto"/>
        <w:jc w:val="both"/>
        <w:rPr>
          <w:rFonts w:ascii="Times New Roman" w:hAnsi="Times New Roman" w:cs="Times New Roman"/>
          <w:b/>
          <w:bCs/>
          <w:lang w:val="en-US"/>
        </w:rPr>
      </w:pPr>
      <w:r w:rsidRPr="00FD25E2">
        <w:rPr>
          <w:rFonts w:ascii="Times New Roman" w:hAnsi="Times New Roman" w:cs="Times New Roman"/>
          <w:b/>
          <w:bCs/>
          <w:lang w:val="en-US"/>
        </w:rPr>
        <w:t>Pathogenesis and Progression</w:t>
      </w:r>
    </w:p>
    <w:p w14:paraId="059520FF" w14:textId="451F8F82" w:rsidR="00EA49BA" w:rsidRDefault="00EA49BA" w:rsidP="00FD25E2">
      <w:pPr>
        <w:spacing w:line="480" w:lineRule="auto"/>
        <w:jc w:val="both"/>
        <w:rPr>
          <w:rFonts w:ascii="Times New Roman" w:hAnsi="Times New Roman" w:cs="Times New Roman"/>
          <w:lang w:val="en-US"/>
        </w:rPr>
      </w:pPr>
    </w:p>
    <w:p w14:paraId="74BBF2D6"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Osteoarthritis is traditionally thought of as a ‘wear and tear’ disease which occurs as we age. However, recent research suggests otherwise.</w:t>
      </w:r>
    </w:p>
    <w:p w14:paraId="695FF68C"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The pathogenesis of OA involves a degradation of cartilage and </w:t>
      </w:r>
      <w:proofErr w:type="spellStart"/>
      <w:r w:rsidRPr="00EA49BA">
        <w:rPr>
          <w:rFonts w:ascii="Times New Roman" w:hAnsi="Times New Roman" w:cs="Times New Roman"/>
          <w:lang w:val="en-US"/>
        </w:rPr>
        <w:t>remodelling</w:t>
      </w:r>
      <w:proofErr w:type="spellEnd"/>
      <w:r w:rsidRPr="00EA49BA">
        <w:rPr>
          <w:rFonts w:ascii="Times New Roman" w:hAnsi="Times New Roman" w:cs="Times New Roman"/>
          <w:lang w:val="en-US"/>
        </w:rPr>
        <w:t> of bone due to an active response of chondrocytes in the articular cartilage and the inflammatory cells in the surrounding tissues.</w:t>
      </w:r>
    </w:p>
    <w:p w14:paraId="21824DF9"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The release of enzymes from these cells break down collagen and proteoglycans, destroying the articular cartilage. The exposure of the underlying subchondral bone results in sclerosis, followed by reactive </w:t>
      </w:r>
      <w:proofErr w:type="spellStart"/>
      <w:r w:rsidRPr="00EA49BA">
        <w:rPr>
          <w:rFonts w:ascii="Times New Roman" w:hAnsi="Times New Roman" w:cs="Times New Roman"/>
          <w:lang w:val="en-US"/>
        </w:rPr>
        <w:t>remodelling</w:t>
      </w:r>
      <w:proofErr w:type="spellEnd"/>
      <w:r w:rsidRPr="00EA49BA">
        <w:rPr>
          <w:rFonts w:ascii="Times New Roman" w:hAnsi="Times New Roman" w:cs="Times New Roman"/>
          <w:lang w:val="en-US"/>
        </w:rPr>
        <w:t xml:space="preserve"> changes that lead to the formation of osteophytes and subchondral bone cysts. The joint space is progressively lost over time.</w:t>
      </w:r>
    </w:p>
    <w:p w14:paraId="1EF61FA0"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lastRenderedPageBreak/>
        <w:t>Osteoarthritis (OA) results from an imbalance between breakdown and repair of the tissues in the synovial joints. Risk factors include trauma, overuse, obesity, and genetic predisposition. The etiopathogenesis of osteoarthritis has been divided into 3 stages.</w:t>
      </w:r>
    </w:p>
    <w:p w14:paraId="6328129E" w14:textId="77777777" w:rsidR="00EA49BA" w:rsidRPr="00EA49BA" w:rsidRDefault="00EA49BA" w:rsidP="00FD25E2">
      <w:pPr>
        <w:spacing w:line="480" w:lineRule="auto"/>
        <w:jc w:val="both"/>
        <w:rPr>
          <w:rFonts w:ascii="Times New Roman" w:hAnsi="Times New Roman" w:cs="Times New Roman"/>
          <w:lang w:val="en-US"/>
        </w:rPr>
      </w:pPr>
    </w:p>
    <w:p w14:paraId="66D142E5" w14:textId="4297F226"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In stage 1, proteolytic breakdown of the cartilage matrix occurs. Chondrocyte metabolism is affected, leading to an increased production of enzymes, which includes </w:t>
      </w:r>
      <w:proofErr w:type="spellStart"/>
      <w:r w:rsidRPr="00EA49BA">
        <w:rPr>
          <w:rFonts w:ascii="Times New Roman" w:hAnsi="Times New Roman" w:cs="Times New Roman"/>
          <w:lang w:val="en-US"/>
        </w:rPr>
        <w:t>metalloproteinases</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eg</w:t>
      </w:r>
      <w:proofErr w:type="spellEnd"/>
      <w:r w:rsidRPr="00EA49BA">
        <w:rPr>
          <w:rFonts w:ascii="Times New Roman" w:hAnsi="Times New Roman" w:cs="Times New Roman"/>
          <w:lang w:val="en-US"/>
        </w:rPr>
        <w:t xml:space="preserve">, collagenase, </w:t>
      </w:r>
      <w:proofErr w:type="spellStart"/>
      <w:r w:rsidRPr="00EA49BA">
        <w:rPr>
          <w:rFonts w:ascii="Times New Roman" w:hAnsi="Times New Roman" w:cs="Times New Roman"/>
          <w:lang w:val="en-US"/>
        </w:rPr>
        <w:t>stromelysin</w:t>
      </w:r>
      <w:proofErr w:type="spellEnd"/>
      <w:r w:rsidRPr="00EA49BA">
        <w:rPr>
          <w:rFonts w:ascii="Times New Roman" w:hAnsi="Times New Roman" w:cs="Times New Roman"/>
          <w:lang w:val="en-US"/>
        </w:rPr>
        <w:t>) that destroy the cartilage matrix. Chondrocytes also produce protease inhibitors, including tissue inhibitors of metalloproteinases (TIMP) 1 and 2, but in amounts insufficient to counteract the proteolytic effect.</w:t>
      </w:r>
    </w:p>
    <w:p w14:paraId="5A317AAA" w14:textId="10F86874" w:rsidR="00EA49BA" w:rsidRDefault="00EA49BA" w:rsidP="00FD25E2">
      <w:pPr>
        <w:spacing w:line="480" w:lineRule="auto"/>
        <w:jc w:val="both"/>
        <w:rPr>
          <w:rFonts w:ascii="Times New Roman" w:hAnsi="Times New Roman" w:cs="Times New Roman"/>
          <w:lang w:val="en-US"/>
        </w:rPr>
      </w:pPr>
    </w:p>
    <w:p w14:paraId="2D1C4B31"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Stage 2 involves the fibrillation and erosion of the cartilage surface, with a subsequent release of proteoglycan and collagen fragments into the synovial fluid.</w:t>
      </w:r>
    </w:p>
    <w:p w14:paraId="596AFF1F" w14:textId="77777777" w:rsidR="00EA49BA" w:rsidRDefault="00EA49BA" w:rsidP="00FD25E2">
      <w:pPr>
        <w:spacing w:line="480" w:lineRule="auto"/>
        <w:jc w:val="both"/>
        <w:rPr>
          <w:rFonts w:ascii="Times New Roman" w:hAnsi="Times New Roman" w:cs="Times New Roman"/>
          <w:lang w:val="en-US"/>
        </w:rPr>
      </w:pPr>
    </w:p>
    <w:p w14:paraId="24CBD646" w14:textId="2FAB4B0D"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In stage 3, the breakdown products of cartilage induce a chronic inflammatory response in the synovium. Synovial macrophage production of metalloproteinases, as well as cytokines such as interleukin (IL) 1, tumor necrosis factor (TNF)-alpha, occurs. These can diffuse back into the cartilage and directly destroy tissue or stimulate chondrocytes to produce more metalloproteinases. Other </w:t>
      </w:r>
      <w:proofErr w:type="spellStart"/>
      <w:r w:rsidRPr="00EA49BA">
        <w:rPr>
          <w:rFonts w:ascii="Times New Roman" w:hAnsi="Times New Roman" w:cs="Times New Roman"/>
          <w:lang w:val="en-US"/>
        </w:rPr>
        <w:t>proinflammatory</w:t>
      </w:r>
      <w:proofErr w:type="spellEnd"/>
      <w:r w:rsidRPr="00EA49BA">
        <w:rPr>
          <w:rFonts w:ascii="Times New Roman" w:hAnsi="Times New Roman" w:cs="Times New Roman"/>
          <w:lang w:val="en-US"/>
        </w:rPr>
        <w:t xml:space="preserve"> molecules (</w:t>
      </w:r>
      <w:proofErr w:type="spellStart"/>
      <w:r w:rsidRPr="00EA49BA">
        <w:rPr>
          <w:rFonts w:ascii="Times New Roman" w:hAnsi="Times New Roman" w:cs="Times New Roman"/>
          <w:lang w:val="en-US"/>
        </w:rPr>
        <w:t>eg</w:t>
      </w:r>
      <w:proofErr w:type="spellEnd"/>
      <w:r w:rsidRPr="00EA49BA">
        <w:rPr>
          <w:rFonts w:ascii="Times New Roman" w:hAnsi="Times New Roman" w:cs="Times New Roman"/>
          <w:lang w:val="en-US"/>
        </w:rPr>
        <w:t>, nitric oxide [NO], an inorganic free radical) may also be a factor in stage 3.</w:t>
      </w:r>
    </w:p>
    <w:p w14:paraId="060D731A" w14:textId="4D056D68" w:rsidR="00EA49BA" w:rsidRDefault="00EA49BA" w:rsidP="00FD25E2">
      <w:pPr>
        <w:spacing w:line="480" w:lineRule="auto"/>
        <w:jc w:val="both"/>
        <w:rPr>
          <w:rFonts w:ascii="Times New Roman" w:hAnsi="Times New Roman" w:cs="Times New Roman"/>
          <w:lang w:val="en-US"/>
        </w:rPr>
      </w:pPr>
    </w:p>
    <w:p w14:paraId="64431B20" w14:textId="30A25A98" w:rsidR="00EA49BA" w:rsidRDefault="00EA49BA" w:rsidP="00FD25E2">
      <w:pPr>
        <w:spacing w:line="480" w:lineRule="auto"/>
        <w:jc w:val="both"/>
        <w:rPr>
          <w:rFonts w:ascii="Times New Roman" w:hAnsi="Times New Roman" w:cs="Times New Roman"/>
          <w:b/>
          <w:bCs/>
          <w:lang w:val="en-US"/>
        </w:rPr>
      </w:pPr>
      <w:r w:rsidRPr="00EA49BA">
        <w:rPr>
          <w:rFonts w:ascii="Times New Roman" w:hAnsi="Times New Roman" w:cs="Times New Roman"/>
          <w:b/>
          <w:bCs/>
          <w:lang w:val="en-US"/>
        </w:rPr>
        <w:t>The involvement of T and B Lymphocytes</w:t>
      </w:r>
    </w:p>
    <w:p w14:paraId="454DA05D" w14:textId="77777777" w:rsidR="00EA49BA" w:rsidRDefault="00EA49BA" w:rsidP="00FD25E2">
      <w:pPr>
        <w:spacing w:line="480" w:lineRule="auto"/>
        <w:jc w:val="both"/>
        <w:rPr>
          <w:rFonts w:ascii="Times New Roman" w:hAnsi="Times New Roman" w:cs="Times New Roman"/>
          <w:lang w:val="en-US"/>
        </w:rPr>
      </w:pPr>
    </w:p>
    <w:p w14:paraId="02526BDA" w14:textId="77777777" w:rsidR="00EA49BA" w:rsidRDefault="00EA49BA" w:rsidP="00FD25E2">
      <w:pPr>
        <w:spacing w:line="480" w:lineRule="auto"/>
        <w:jc w:val="both"/>
        <w:rPr>
          <w:rFonts w:ascii="Times New Roman" w:hAnsi="Times New Roman" w:cs="Times New Roman"/>
          <w:lang w:val="en-US"/>
        </w:rPr>
      </w:pPr>
    </w:p>
    <w:p w14:paraId="07F95AC7" w14:textId="0134E7A0" w:rsidR="00EA49BA" w:rsidRDefault="00EA49BA" w:rsidP="00FD25E2">
      <w:pPr>
        <w:spacing w:line="480" w:lineRule="auto"/>
        <w:jc w:val="both"/>
        <w:rPr>
          <w:rFonts w:ascii="Times New Roman" w:hAnsi="Times New Roman" w:cs="Times New Roman"/>
          <w:lang w:val="en-US"/>
        </w:rPr>
      </w:pPr>
      <w:r>
        <w:rPr>
          <w:rFonts w:ascii="Times New Roman" w:hAnsi="Times New Roman" w:cs="Times New Roman"/>
          <w:lang w:val="en-US"/>
        </w:rPr>
        <w:t>A</w:t>
      </w:r>
      <w:r w:rsidRPr="00EA49BA">
        <w:rPr>
          <w:rFonts w:ascii="Times New Roman" w:hAnsi="Times New Roman" w:cs="Times New Roman"/>
          <w:lang w:val="en-US"/>
        </w:rPr>
        <w:t xml:space="preserve">ctivated T cells are known to enhance </w:t>
      </w:r>
      <w:proofErr w:type="spellStart"/>
      <w:r w:rsidRPr="00EA49BA">
        <w:rPr>
          <w:rFonts w:ascii="Times New Roman" w:hAnsi="Times New Roman" w:cs="Times New Roman"/>
          <w:lang w:val="en-US"/>
        </w:rPr>
        <w:t>osteoclastogenesis</w:t>
      </w:r>
      <w:proofErr w:type="spellEnd"/>
      <w:r w:rsidRPr="00EA49BA">
        <w:rPr>
          <w:rFonts w:ascii="Times New Roman" w:hAnsi="Times New Roman" w:cs="Times New Roman"/>
          <w:lang w:val="en-US"/>
        </w:rPr>
        <w:t xml:space="preserve"> and bone resorption. Because CD28 is expressed constitutively on T cells and its expression is down-regulated by chronic exposure to the inflammatory environment, we characterized co-stimulatory molecule expression on T </w:t>
      </w:r>
      <w:r w:rsidRPr="00EA49BA">
        <w:rPr>
          <w:rFonts w:ascii="Times New Roman" w:hAnsi="Times New Roman" w:cs="Times New Roman"/>
          <w:lang w:val="en-US"/>
        </w:rPr>
        <w:lastRenderedPageBreak/>
        <w:t xml:space="preserve">cells from chronically infected patients. Cytofluorometric techniques </w:t>
      </w:r>
      <w:r>
        <w:rPr>
          <w:rFonts w:ascii="Times New Roman" w:hAnsi="Times New Roman" w:cs="Times New Roman"/>
          <w:lang w:val="en-US"/>
        </w:rPr>
        <w:t xml:space="preserve">are used </w:t>
      </w:r>
      <w:r w:rsidRPr="00EA49BA">
        <w:rPr>
          <w:rFonts w:ascii="Times New Roman" w:hAnsi="Times New Roman" w:cs="Times New Roman"/>
          <w:lang w:val="en-US"/>
        </w:rPr>
        <w:t>to phenotypically characterize T cells, its co-stimulatory molecules and perforin secretion from infected and non-infected human bones.</w:t>
      </w:r>
      <w:r>
        <w:rPr>
          <w:rFonts w:ascii="Times New Roman" w:hAnsi="Times New Roman" w:cs="Times New Roman"/>
          <w:lang w:val="en-US"/>
        </w:rPr>
        <w:t xml:space="preserve"> </w:t>
      </w:r>
      <w:r w:rsidRPr="00EA49BA">
        <w:rPr>
          <w:rFonts w:ascii="Times New Roman" w:hAnsi="Times New Roman" w:cs="Times New Roman"/>
          <w:lang w:val="en-US"/>
        </w:rPr>
        <w:t xml:space="preserve">A higher T cell activation [human leucocyte antigen D-related (HLA-DR+)] </w:t>
      </w:r>
      <w:r>
        <w:rPr>
          <w:rFonts w:ascii="Times New Roman" w:hAnsi="Times New Roman" w:cs="Times New Roman"/>
          <w:lang w:val="en-US"/>
        </w:rPr>
        <w:t xml:space="preserve">is shown </w:t>
      </w:r>
      <w:r w:rsidRPr="00EA49BA">
        <w:rPr>
          <w:rFonts w:ascii="Times New Roman" w:hAnsi="Times New Roman" w:cs="Times New Roman"/>
          <w:lang w:val="en-US"/>
        </w:rPr>
        <w:t>in infected compared to non-infected bones. Chronically infected human bones are characterized by an increase of CD28-negative CD4+ T cells, indicating long-term activated cells with cytotoxic ability. Therefore, this alteration of co-stimulatory molecules may modify interactions with osteoclasts and impact bone resorption.</w:t>
      </w:r>
    </w:p>
    <w:p w14:paraId="1B40E7D4" w14:textId="77777777" w:rsidR="00EA49BA" w:rsidRDefault="00EA49BA" w:rsidP="00FD25E2">
      <w:pPr>
        <w:spacing w:line="480" w:lineRule="auto"/>
        <w:jc w:val="both"/>
        <w:rPr>
          <w:rFonts w:ascii="Times New Roman" w:hAnsi="Times New Roman" w:cs="Times New Roman"/>
          <w:lang w:val="en-US"/>
        </w:rPr>
      </w:pPr>
    </w:p>
    <w:p w14:paraId="556D9BFD" w14:textId="6ECF008E" w:rsidR="00EA49BA" w:rsidRPr="00EA49BA" w:rsidRDefault="00EA49BA" w:rsidP="00FD25E2">
      <w:pPr>
        <w:spacing w:line="480" w:lineRule="auto"/>
        <w:jc w:val="both"/>
        <w:rPr>
          <w:rFonts w:ascii="Times New Roman" w:hAnsi="Times New Roman" w:cs="Times New Roman"/>
          <w:lang w:val="en-US"/>
        </w:rPr>
      </w:pPr>
      <w:r>
        <w:rPr>
          <w:rFonts w:ascii="Times New Roman" w:hAnsi="Times New Roman" w:cs="Times New Roman"/>
          <w:lang w:val="en-US"/>
        </w:rPr>
        <w:t xml:space="preserve">B </w:t>
      </w:r>
      <w:r w:rsidRPr="00EA49BA">
        <w:rPr>
          <w:rFonts w:ascii="Times New Roman" w:hAnsi="Times New Roman" w:cs="Times New Roman"/>
          <w:lang w:val="en-US"/>
        </w:rPr>
        <w:t xml:space="preserve">cells not only participate in </w:t>
      </w:r>
      <w:proofErr w:type="spellStart"/>
      <w:r w:rsidRPr="00EA49BA">
        <w:rPr>
          <w:rFonts w:ascii="Times New Roman" w:hAnsi="Times New Roman" w:cs="Times New Roman"/>
          <w:lang w:val="en-US"/>
        </w:rPr>
        <w:t>proinflamatory</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reactions.They</w:t>
      </w:r>
      <w:proofErr w:type="spellEnd"/>
      <w:r w:rsidRPr="00EA49BA">
        <w:rPr>
          <w:rFonts w:ascii="Times New Roman" w:hAnsi="Times New Roman" w:cs="Times New Roman"/>
          <w:lang w:val="en-US"/>
        </w:rPr>
        <w:t xml:space="preserve"> also play a role in regulation of immune responses.</w:t>
      </w:r>
      <w:r>
        <w:rPr>
          <w:rFonts w:ascii="Times New Roman" w:hAnsi="Times New Roman" w:cs="Times New Roman"/>
          <w:lang w:val="en-US"/>
        </w:rPr>
        <w:t xml:space="preserve"> </w:t>
      </w:r>
      <w:r w:rsidRPr="00EA49BA">
        <w:rPr>
          <w:rFonts w:ascii="Times New Roman" w:hAnsi="Times New Roman" w:cs="Times New Roman"/>
          <w:lang w:val="en-US"/>
        </w:rPr>
        <w:t>Regulatory B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cells a</w:t>
      </w:r>
      <w:r>
        <w:rPr>
          <w:rFonts w:ascii="Times New Roman" w:hAnsi="Times New Roman" w:cs="Times New Roman"/>
          <w:lang w:val="en-US"/>
        </w:rPr>
        <w:t>re</w:t>
      </w:r>
      <w:r w:rsidRPr="00EA49BA">
        <w:rPr>
          <w:rFonts w:ascii="Times New Roman" w:hAnsi="Times New Roman" w:cs="Times New Roman"/>
          <w:lang w:val="en-US"/>
        </w:rPr>
        <w:t xml:space="preserve"> specific subsets that have an ability of immune response</w:t>
      </w:r>
      <w:r>
        <w:rPr>
          <w:rFonts w:ascii="Times New Roman" w:hAnsi="Times New Roman" w:cs="Times New Roman"/>
          <w:lang w:val="en-US"/>
        </w:rPr>
        <w:t xml:space="preserve"> </w:t>
      </w:r>
      <w:proofErr w:type="spellStart"/>
      <w:r w:rsidRPr="00EA49BA">
        <w:rPr>
          <w:rFonts w:ascii="Times New Roman" w:hAnsi="Times New Roman" w:cs="Times New Roman"/>
          <w:lang w:val="en-US"/>
        </w:rPr>
        <w:t>suppression</w:t>
      </w:r>
      <w:r>
        <w:rPr>
          <w:rFonts w:ascii="Times New Roman" w:hAnsi="Times New Roman" w:cs="Times New Roman"/>
          <w:lang w:val="en-US"/>
        </w:rPr>
        <w:t>.</w:t>
      </w:r>
      <w:r w:rsidRPr="00EA49BA">
        <w:rPr>
          <w:rFonts w:ascii="Times New Roman" w:hAnsi="Times New Roman" w:cs="Times New Roman"/>
          <w:lang w:val="en-US"/>
        </w:rPr>
        <w:t>They</w:t>
      </w:r>
      <w:proofErr w:type="spellEnd"/>
      <w:r w:rsidRPr="00EA49BA">
        <w:rPr>
          <w:rFonts w:ascii="Times New Roman" w:hAnsi="Times New Roman" w:cs="Times New Roman"/>
          <w:lang w:val="en-US"/>
        </w:rPr>
        <w:t xml:space="preserve"> contribute to maintenanc</w:t>
      </w:r>
      <w:r>
        <w:rPr>
          <w:rFonts w:ascii="Times New Roman" w:hAnsi="Times New Roman" w:cs="Times New Roman"/>
          <w:lang w:val="en-US"/>
        </w:rPr>
        <w:t xml:space="preserve">e of </w:t>
      </w:r>
      <w:r w:rsidRPr="00EA49BA">
        <w:rPr>
          <w:rFonts w:ascii="Times New Roman" w:hAnsi="Times New Roman" w:cs="Times New Roman"/>
          <w:lang w:val="en-US"/>
        </w:rPr>
        <w:t>peripheral tolerance and inhibition of immune reaction</w:t>
      </w:r>
      <w:r>
        <w:rPr>
          <w:rFonts w:ascii="Times New Roman" w:hAnsi="Times New Roman" w:cs="Times New Roman"/>
          <w:lang w:val="en-US"/>
        </w:rPr>
        <w:t xml:space="preserve"> t</w:t>
      </w:r>
      <w:r w:rsidRPr="00EA49BA">
        <w:rPr>
          <w:rFonts w:ascii="Times New Roman" w:hAnsi="Times New Roman" w:cs="Times New Roman"/>
          <w:lang w:val="en-US"/>
        </w:rPr>
        <w:t>o specific self-antigens, mainly by producing of</w:t>
      </w:r>
    </w:p>
    <w:p w14:paraId="0DD7265F" w14:textId="5DC483C1"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interleukin-10 (IL-10) but also by transforming growth</w:t>
      </w:r>
      <w:r>
        <w:rPr>
          <w:rFonts w:ascii="Times New Roman" w:hAnsi="Times New Roman" w:cs="Times New Roman"/>
          <w:lang w:val="en-US"/>
        </w:rPr>
        <w:t xml:space="preserve"> f</w:t>
      </w:r>
      <w:r w:rsidRPr="00EA49BA">
        <w:rPr>
          <w:rFonts w:ascii="Times New Roman" w:hAnsi="Times New Roman" w:cs="Times New Roman"/>
          <w:lang w:val="en-US"/>
        </w:rPr>
        <w:t xml:space="preserve">actor (TGF-β), </w:t>
      </w:r>
      <w:proofErr w:type="spellStart"/>
      <w:r w:rsidRPr="00EA49BA">
        <w:rPr>
          <w:rFonts w:ascii="Times New Roman" w:hAnsi="Times New Roman" w:cs="Times New Roman"/>
          <w:lang w:val="en-US"/>
        </w:rPr>
        <w:t>Fas</w:t>
      </w:r>
      <w:proofErr w:type="spellEnd"/>
      <w:r w:rsidRPr="00EA49BA">
        <w:rPr>
          <w:rFonts w:ascii="Times New Roman" w:hAnsi="Times New Roman" w:cs="Times New Roman"/>
          <w:lang w:val="en-US"/>
        </w:rPr>
        <w:t xml:space="preserve"> ligand, and expressing of TNF-related apoptosis-inducing ligand (TRAIL) </w:t>
      </w:r>
    </w:p>
    <w:p w14:paraId="7E3CC8CA" w14:textId="77777777" w:rsidR="00EA49BA" w:rsidRDefault="00EA49BA" w:rsidP="00FD25E2">
      <w:pPr>
        <w:spacing w:line="480" w:lineRule="auto"/>
        <w:jc w:val="both"/>
        <w:rPr>
          <w:rFonts w:ascii="Times New Roman" w:hAnsi="Times New Roman" w:cs="Times New Roman"/>
          <w:lang w:val="en-US"/>
        </w:rPr>
      </w:pPr>
    </w:p>
    <w:p w14:paraId="0076CD13" w14:textId="2831169A" w:rsidR="00EA49BA" w:rsidRPr="00EA49BA" w:rsidRDefault="00EA49BA" w:rsidP="00FD25E2">
      <w:pPr>
        <w:spacing w:line="480" w:lineRule="auto"/>
        <w:jc w:val="both"/>
        <w:rPr>
          <w:rFonts w:ascii="Times New Roman" w:hAnsi="Times New Roman" w:cs="Times New Roman"/>
          <w:lang w:val="en-US"/>
        </w:rPr>
      </w:pP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are important in preventing the disease onset and also in sup-</w:t>
      </w:r>
    </w:p>
    <w:p w14:paraId="68A6060D"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pressing the disease symptoms. Primarily,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are</w:t>
      </w:r>
    </w:p>
    <w:p w14:paraId="44AA8071" w14:textId="13682000"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able to change T cell differentiation in behalf of a regulatory phenotype. It is considered that re</w:t>
      </w:r>
      <w:r>
        <w:rPr>
          <w:rFonts w:ascii="Times New Roman" w:hAnsi="Times New Roman" w:cs="Times New Roman"/>
          <w:lang w:val="en-US"/>
        </w:rPr>
        <w:t>l</w:t>
      </w:r>
      <w:r w:rsidRPr="00EA49BA">
        <w:rPr>
          <w:rFonts w:ascii="Times New Roman" w:hAnsi="Times New Roman" w:cs="Times New Roman"/>
          <w:lang w:val="en-US"/>
        </w:rPr>
        <w:t xml:space="preserve">ated interactions between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and T cells control</w:t>
      </w:r>
      <w:r>
        <w:rPr>
          <w:rFonts w:ascii="Times New Roman" w:hAnsi="Times New Roman" w:cs="Times New Roman"/>
          <w:lang w:val="en-US"/>
        </w:rPr>
        <w:t xml:space="preserve"> </w:t>
      </w:r>
      <w:r w:rsidRPr="00EA49BA">
        <w:rPr>
          <w:rFonts w:ascii="Times New Roman" w:hAnsi="Times New Roman" w:cs="Times New Roman"/>
          <w:lang w:val="en-US"/>
        </w:rPr>
        <w:t>the induction of T regulatory (</w:t>
      </w:r>
      <w:proofErr w:type="spellStart"/>
      <w:r w:rsidRPr="00EA49BA">
        <w:rPr>
          <w:rFonts w:ascii="Times New Roman" w:hAnsi="Times New Roman" w:cs="Times New Roman"/>
          <w:lang w:val="en-US"/>
        </w:rPr>
        <w:t>Treg</w:t>
      </w:r>
      <w:proofErr w:type="spellEnd"/>
      <w:r w:rsidRPr="00EA49BA">
        <w:rPr>
          <w:rFonts w:ascii="Times New Roman" w:hAnsi="Times New Roman" w:cs="Times New Roman"/>
          <w:lang w:val="en-US"/>
        </w:rPr>
        <w:t xml:space="preserve">) cells and are important in maintaining </w:t>
      </w:r>
      <w:proofErr w:type="spellStart"/>
      <w:r w:rsidRPr="00EA49BA">
        <w:rPr>
          <w:rFonts w:ascii="Times New Roman" w:hAnsi="Times New Roman" w:cs="Times New Roman"/>
          <w:lang w:val="en-US"/>
        </w:rPr>
        <w:t>Treg</w:t>
      </w:r>
      <w:proofErr w:type="spellEnd"/>
      <w:r w:rsidRPr="00EA49BA">
        <w:rPr>
          <w:rFonts w:ascii="Times New Roman" w:hAnsi="Times New Roman" w:cs="Times New Roman"/>
          <w:lang w:val="en-US"/>
        </w:rPr>
        <w:t xml:space="preserve"> cell compartment</w:t>
      </w:r>
      <w:r>
        <w:rPr>
          <w:rFonts w:ascii="Times New Roman" w:hAnsi="Times New Roman" w:cs="Times New Roman"/>
          <w:lang w:val="en-US"/>
        </w:rPr>
        <w:t xml:space="preserve"> </w:t>
      </w:r>
      <w:r w:rsidRPr="00EA49BA">
        <w:rPr>
          <w:rFonts w:ascii="Times New Roman" w:hAnsi="Times New Roman" w:cs="Times New Roman"/>
          <w:lang w:val="en-US"/>
        </w:rPr>
        <w:t xml:space="preserve">recent findings, </w:t>
      </w:r>
      <w:proofErr w:type="spellStart"/>
      <w:r w:rsidRPr="00EA49BA">
        <w:rPr>
          <w:rFonts w:ascii="Times New Roman" w:hAnsi="Times New Roman" w:cs="Times New Roman"/>
          <w:lang w:val="en-US"/>
        </w:rPr>
        <w:t>Breg</w:t>
      </w:r>
      <w:proofErr w:type="spellEnd"/>
      <w:r w:rsidRPr="00EA49BA">
        <w:rPr>
          <w:rFonts w:ascii="Times New Roman" w:hAnsi="Times New Roman" w:cs="Times New Roman"/>
          <w:lang w:val="en-US"/>
        </w:rPr>
        <w:t xml:space="preserve"> cells have an ability to inhibit Th1immune responses by the production of IL-10 during</w:t>
      </w:r>
    </w:p>
    <w:p w14:paraId="4FDC909E" w14:textId="2964F284"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chronic infections Furthermore, they are capable</w:t>
      </w:r>
      <w:r>
        <w:rPr>
          <w:rFonts w:ascii="Times New Roman" w:hAnsi="Times New Roman" w:cs="Times New Roman"/>
          <w:lang w:val="en-US"/>
        </w:rPr>
        <w:t xml:space="preserve"> </w:t>
      </w:r>
      <w:r w:rsidRPr="00EA49BA">
        <w:rPr>
          <w:rFonts w:ascii="Times New Roman" w:hAnsi="Times New Roman" w:cs="Times New Roman"/>
          <w:lang w:val="en-US"/>
        </w:rPr>
        <w:t>of indirect suppression of Th1 and Th17 cells differentiation by suppressing production of pro-inflammatory</w:t>
      </w:r>
      <w:r>
        <w:rPr>
          <w:rFonts w:ascii="Times New Roman" w:hAnsi="Times New Roman" w:cs="Times New Roman"/>
          <w:lang w:val="en-US"/>
        </w:rPr>
        <w:t xml:space="preserve"> </w:t>
      </w:r>
      <w:r w:rsidRPr="00EA49BA">
        <w:rPr>
          <w:rFonts w:ascii="Times New Roman" w:hAnsi="Times New Roman" w:cs="Times New Roman"/>
          <w:lang w:val="en-US"/>
        </w:rPr>
        <w:t>cytokines by dendritic cells</w:t>
      </w:r>
      <w:r>
        <w:rPr>
          <w:rFonts w:ascii="Times New Roman" w:hAnsi="Times New Roman" w:cs="Times New Roman"/>
          <w:lang w:val="en-US"/>
        </w:rPr>
        <w:t>.</w:t>
      </w:r>
    </w:p>
    <w:p w14:paraId="088D9461" w14:textId="77777777"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 </w:t>
      </w:r>
    </w:p>
    <w:p w14:paraId="5F7A52E8" w14:textId="203E13E2"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In conclusion, bone tissue in humans appears to be a site of T cell activation and proliferation, the latter being decreased in chronic bacterial infections. Bone infections are associated with a </w:t>
      </w:r>
      <w:r w:rsidRPr="00EA49BA">
        <w:rPr>
          <w:rFonts w:ascii="Times New Roman" w:hAnsi="Times New Roman" w:cs="Times New Roman"/>
          <w:lang w:val="en-US"/>
        </w:rPr>
        <w:lastRenderedPageBreak/>
        <w:t xml:space="preserve">high percentage of CD28− CD4 T cells exhibiting a cytotoxic phenotype as well as an up-regulated CD40/CD40L pathway on T cells. As activated T cells are already known to express RANKL, which is a crucial factor for </w:t>
      </w:r>
      <w:proofErr w:type="spellStart"/>
      <w:r w:rsidRPr="00EA49BA">
        <w:rPr>
          <w:rFonts w:ascii="Times New Roman" w:hAnsi="Times New Roman" w:cs="Times New Roman"/>
          <w:lang w:val="en-US"/>
        </w:rPr>
        <w:t>osteoclastogenesis</w:t>
      </w:r>
      <w:proofErr w:type="spellEnd"/>
      <w:r w:rsidRPr="00EA49BA">
        <w:rPr>
          <w:rFonts w:ascii="Times New Roman" w:hAnsi="Times New Roman" w:cs="Times New Roman"/>
          <w:lang w:val="en-US"/>
        </w:rPr>
        <w:t>, our results suggest a creative line of work on the mechanisms of bone resorption in human BI. Moreover, we assume that biotherapies targeting co-stimulatory molecules might have significant but variable effects on bone resorption, depending on their membrane expression.</w:t>
      </w:r>
    </w:p>
    <w:p w14:paraId="0754D397" w14:textId="5C45EB12" w:rsidR="00EA49BA" w:rsidRDefault="00EA49BA" w:rsidP="00FD25E2">
      <w:pPr>
        <w:spacing w:line="480" w:lineRule="auto"/>
        <w:jc w:val="both"/>
        <w:rPr>
          <w:rFonts w:ascii="Times New Roman" w:hAnsi="Times New Roman" w:cs="Times New Roman"/>
          <w:sz w:val="28"/>
          <w:szCs w:val="28"/>
        </w:rPr>
      </w:pPr>
    </w:p>
    <w:p w14:paraId="0157F99E" w14:textId="270FE157" w:rsidR="00EA49BA" w:rsidRDefault="00EA49BA" w:rsidP="00FD25E2">
      <w:pPr>
        <w:spacing w:line="480" w:lineRule="auto"/>
        <w:jc w:val="both"/>
        <w:rPr>
          <w:rFonts w:ascii="Times New Roman" w:hAnsi="Times New Roman" w:cs="Times New Roman"/>
          <w:sz w:val="28"/>
          <w:szCs w:val="28"/>
        </w:rPr>
      </w:pPr>
    </w:p>
    <w:p w14:paraId="27449043" w14:textId="535EAA5C" w:rsidR="00EA49BA" w:rsidRDefault="00EA49BA" w:rsidP="00FD25E2">
      <w:pPr>
        <w:spacing w:line="480" w:lineRule="auto"/>
        <w:jc w:val="both"/>
        <w:rPr>
          <w:rFonts w:ascii="Times New Roman" w:hAnsi="Times New Roman" w:cs="Times New Roman"/>
          <w:b/>
          <w:bCs/>
          <w:sz w:val="28"/>
          <w:szCs w:val="28"/>
          <w:lang w:val="en-US"/>
        </w:rPr>
      </w:pPr>
      <w:r w:rsidRPr="00FD25E2">
        <w:rPr>
          <w:rFonts w:ascii="Times New Roman" w:hAnsi="Times New Roman" w:cs="Times New Roman"/>
          <w:b/>
          <w:bCs/>
          <w:sz w:val="28"/>
          <w:szCs w:val="28"/>
          <w:lang w:val="en-US"/>
        </w:rPr>
        <w:t xml:space="preserve">References </w:t>
      </w:r>
    </w:p>
    <w:p w14:paraId="19580FA8" w14:textId="0E79D51E" w:rsidR="00C615AB" w:rsidRDefault="00C615AB" w:rsidP="00E223C4">
      <w:pPr>
        <w:spacing w:line="480" w:lineRule="auto"/>
        <w:jc w:val="both"/>
      </w:pPr>
      <w:r>
        <w:t xml:space="preserve">J. T. </w:t>
      </w:r>
      <w:proofErr w:type="spellStart"/>
      <w:r>
        <w:t>Harty</w:t>
      </w:r>
      <w:proofErr w:type="spellEnd"/>
      <w:r>
        <w:t xml:space="preserve">, A. R. </w:t>
      </w:r>
      <w:proofErr w:type="spellStart"/>
      <w:r>
        <w:t>Tvinnereim</w:t>
      </w:r>
      <w:proofErr w:type="spellEnd"/>
      <w:r>
        <w:t xml:space="preserve">, and D. W. White, </w:t>
      </w:r>
      <w:r w:rsidR="00BF195A">
        <w:t>(2000)</w:t>
      </w:r>
      <w:r>
        <w:t>“CD8+ T cell effector mechanisms in resistance to infection,” Annual Review of Immunology, vol. 18, pp. 275–308</w:t>
      </w:r>
      <w:r w:rsidR="00BF195A">
        <w:t>.</w:t>
      </w:r>
      <w:bookmarkStart w:id="0" w:name="_GoBack"/>
      <w:bookmarkEnd w:id="0"/>
    </w:p>
    <w:p w14:paraId="625D6ABC" w14:textId="77777777" w:rsidR="00C615AB" w:rsidRDefault="00C615AB" w:rsidP="00E223C4">
      <w:pPr>
        <w:spacing w:line="480" w:lineRule="auto"/>
        <w:jc w:val="both"/>
      </w:pPr>
      <w:r>
        <w:t>View at: Publisher Site | Google Scholar</w:t>
      </w:r>
    </w:p>
    <w:p w14:paraId="34D48BCF" w14:textId="57EE381B" w:rsidR="00C615AB" w:rsidRDefault="00C615AB" w:rsidP="00E223C4">
      <w:pPr>
        <w:spacing w:line="480" w:lineRule="auto"/>
        <w:jc w:val="both"/>
      </w:pPr>
      <w:r>
        <w:t xml:space="preserve">P. Wong and E. G. </w:t>
      </w:r>
      <w:proofErr w:type="spellStart"/>
      <w:r>
        <w:t>Pamer</w:t>
      </w:r>
      <w:proofErr w:type="spellEnd"/>
      <w:r>
        <w:t>, “CD8 T cell responses to infectious pathogens,”</w:t>
      </w:r>
      <w:r w:rsidR="00BF195A">
        <w:t>(2003)</w:t>
      </w:r>
      <w:r>
        <w:t xml:space="preserve"> Annual Review of Immunology, vol. 21, pp. 29–70, </w:t>
      </w:r>
    </w:p>
    <w:p w14:paraId="5904520C" w14:textId="77777777" w:rsidR="00C615AB" w:rsidRDefault="00C615AB" w:rsidP="00E223C4">
      <w:pPr>
        <w:spacing w:line="480" w:lineRule="auto"/>
        <w:jc w:val="both"/>
      </w:pPr>
      <w:r>
        <w:t>View at: Publisher Site | Google Scholar</w:t>
      </w:r>
    </w:p>
    <w:p w14:paraId="15CC8C00" w14:textId="1CA4B278" w:rsidR="00C615AB" w:rsidRDefault="00C615AB" w:rsidP="00E223C4">
      <w:pPr>
        <w:spacing w:line="480" w:lineRule="auto"/>
        <w:jc w:val="both"/>
      </w:pPr>
      <w:r>
        <w:t xml:space="preserve">C. Wagner, D. Heck, K. </w:t>
      </w:r>
      <w:proofErr w:type="spellStart"/>
      <w:r>
        <w:t>Lautenschläger</w:t>
      </w:r>
      <w:proofErr w:type="spellEnd"/>
      <w:r>
        <w:t xml:space="preserve"> et al.,</w:t>
      </w:r>
      <w:r w:rsidR="00C54CB0">
        <w:t xml:space="preserve">(2006) </w:t>
      </w:r>
      <w:r>
        <w:t>“T lymphocytes in implant-associated posttraumatic osteomyelitis: identification of cytotoxic T effector cells at the site of infection,” Shock, vol. 25, no. 3, pp. 241–246</w:t>
      </w:r>
      <w:r w:rsidR="00C54CB0">
        <w:t>.</w:t>
      </w:r>
    </w:p>
    <w:p w14:paraId="63239638" w14:textId="77777777" w:rsidR="00C615AB" w:rsidRDefault="00C615AB" w:rsidP="00E223C4">
      <w:pPr>
        <w:spacing w:line="480" w:lineRule="auto"/>
        <w:jc w:val="both"/>
      </w:pPr>
      <w:r>
        <w:t>View at: Publisher Site | Google Scholar</w:t>
      </w:r>
    </w:p>
    <w:p w14:paraId="19B3B873" w14:textId="3122A8AF" w:rsidR="00C54CB0" w:rsidRDefault="00C615AB" w:rsidP="00E223C4">
      <w:pPr>
        <w:spacing w:line="480" w:lineRule="auto"/>
        <w:jc w:val="both"/>
      </w:pPr>
      <w:r>
        <w:t xml:space="preserve">C. Wagner, D. </w:t>
      </w:r>
      <w:proofErr w:type="spellStart"/>
      <w:r>
        <w:t>Kotsougiani</w:t>
      </w:r>
      <w:proofErr w:type="spellEnd"/>
      <w:r>
        <w:t xml:space="preserve">, M. </w:t>
      </w:r>
      <w:proofErr w:type="spellStart"/>
      <w:r>
        <w:t>Pioch</w:t>
      </w:r>
      <w:proofErr w:type="spellEnd"/>
      <w:r>
        <w:t xml:space="preserve">, B. Prior, A. </w:t>
      </w:r>
      <w:proofErr w:type="spellStart"/>
      <w:r>
        <w:t>Wentzensen</w:t>
      </w:r>
      <w:proofErr w:type="spellEnd"/>
      <w:r>
        <w:t xml:space="preserve">, and G. M. </w:t>
      </w:r>
      <w:proofErr w:type="spellStart"/>
      <w:r>
        <w:t>Hänsch</w:t>
      </w:r>
      <w:proofErr w:type="spellEnd"/>
      <w:r>
        <w:t>,</w:t>
      </w:r>
      <w:r w:rsidR="00C54CB0">
        <w:t>(2008)</w:t>
      </w:r>
      <w:r>
        <w:t xml:space="preserve"> “T lymphocytes in acute bacterial infection: increased prevalence of CD11b+ cells in the peripheral blood and recruitment to the infected site,” Immunology, vol. 125, no. 4, pp. 503–509</w:t>
      </w:r>
      <w:r w:rsidR="00C54CB0">
        <w:t>.</w:t>
      </w:r>
    </w:p>
    <w:p w14:paraId="20747FD3" w14:textId="77777777" w:rsidR="00C615AB" w:rsidRDefault="00C615AB" w:rsidP="00E223C4">
      <w:pPr>
        <w:spacing w:line="480" w:lineRule="auto"/>
        <w:jc w:val="both"/>
      </w:pPr>
      <w:r>
        <w:t>View at: Publisher Site | Google Scholar</w:t>
      </w:r>
    </w:p>
    <w:p w14:paraId="30588B3C" w14:textId="2191DF65" w:rsidR="00C615AB" w:rsidRDefault="00C615AB" w:rsidP="00E223C4">
      <w:pPr>
        <w:spacing w:line="480" w:lineRule="auto"/>
        <w:jc w:val="both"/>
      </w:pPr>
      <w:r>
        <w:lastRenderedPageBreak/>
        <w:t xml:space="preserve">J. W. </w:t>
      </w:r>
      <w:proofErr w:type="spellStart"/>
      <w:r>
        <w:t>Costerton</w:t>
      </w:r>
      <w:proofErr w:type="spellEnd"/>
      <w:r>
        <w:t>, P. S. Stewart, and E. P. Greenberg,</w:t>
      </w:r>
      <w:r w:rsidR="00163F10">
        <w:t>(2009)</w:t>
      </w:r>
      <w:r>
        <w:t xml:space="preserve"> “Bacterial biofilms: a common cause of persistent infections,” Science, vol. 284, no. 5418, pp. 1318–1322, 1999.</w:t>
      </w:r>
    </w:p>
    <w:p w14:paraId="4FE23E82" w14:textId="77777777" w:rsidR="00C615AB" w:rsidRDefault="00C615AB" w:rsidP="00E223C4">
      <w:pPr>
        <w:spacing w:line="480" w:lineRule="auto"/>
        <w:jc w:val="both"/>
      </w:pPr>
      <w:r>
        <w:t>View at: Publisher Site | Google Scholar</w:t>
      </w:r>
    </w:p>
    <w:p w14:paraId="3584E688" w14:textId="4F3AA941" w:rsidR="00C615AB" w:rsidRDefault="00C615AB" w:rsidP="00E223C4">
      <w:pPr>
        <w:spacing w:line="480" w:lineRule="auto"/>
        <w:jc w:val="both"/>
      </w:pPr>
      <w:r>
        <w:t xml:space="preserve">W. </w:t>
      </w:r>
      <w:proofErr w:type="spellStart"/>
      <w:r>
        <w:t>Costerton</w:t>
      </w:r>
      <w:proofErr w:type="spellEnd"/>
      <w:r>
        <w:t xml:space="preserve">, R. </w:t>
      </w:r>
      <w:proofErr w:type="spellStart"/>
      <w:r>
        <w:t>Veeh</w:t>
      </w:r>
      <w:proofErr w:type="spellEnd"/>
      <w:r>
        <w:t xml:space="preserve">, M. </w:t>
      </w:r>
      <w:proofErr w:type="spellStart"/>
      <w:r>
        <w:t>Shirtliff</w:t>
      </w:r>
      <w:proofErr w:type="spellEnd"/>
      <w:r>
        <w:t xml:space="preserve">, M. </w:t>
      </w:r>
      <w:proofErr w:type="spellStart"/>
      <w:r>
        <w:t>Pasmore</w:t>
      </w:r>
      <w:proofErr w:type="spellEnd"/>
      <w:r>
        <w:t>, C. Post, and G. Ehrlich,</w:t>
      </w:r>
      <w:r w:rsidR="00163F10">
        <w:t>(2003)</w:t>
      </w:r>
      <w:r>
        <w:t xml:space="preserve"> “The application of biofilm science to the study and control of chronic bacterial infections,” Journal of Clinical Investigation, vol. 112, no. 10, pp. 1466–1477</w:t>
      </w:r>
      <w:r w:rsidR="00163F10">
        <w:t>.</w:t>
      </w:r>
    </w:p>
    <w:p w14:paraId="468CB910" w14:textId="77777777" w:rsidR="00C615AB" w:rsidRDefault="00C615AB" w:rsidP="00E223C4">
      <w:pPr>
        <w:spacing w:line="480" w:lineRule="auto"/>
        <w:jc w:val="both"/>
      </w:pPr>
      <w:r>
        <w:t>View at: Publisher Site | Google Scholar</w:t>
      </w:r>
    </w:p>
    <w:p w14:paraId="1FA4637F" w14:textId="5D5CD3BE" w:rsidR="00C615AB" w:rsidRDefault="00C615AB" w:rsidP="00E223C4">
      <w:pPr>
        <w:spacing w:line="480" w:lineRule="auto"/>
        <w:jc w:val="both"/>
      </w:pPr>
      <w:r>
        <w:t xml:space="preserve">R. M. </w:t>
      </w:r>
      <w:proofErr w:type="spellStart"/>
      <w:r>
        <w:t>Donlan</w:t>
      </w:r>
      <w:proofErr w:type="spellEnd"/>
      <w:r>
        <w:t xml:space="preserve"> and J. W. </w:t>
      </w:r>
      <w:proofErr w:type="spellStart"/>
      <w:r>
        <w:t>Costerton</w:t>
      </w:r>
      <w:proofErr w:type="spellEnd"/>
      <w:r>
        <w:t>,</w:t>
      </w:r>
      <w:r w:rsidR="00FA22E4">
        <w:t>(2002)</w:t>
      </w:r>
      <w:r>
        <w:t xml:space="preserve"> “Biofilms: survival mechanisms of clinically relevant microorganisms,” Clinical Microbiology Reviews, vol. 15, no. 2, pp. 167–193</w:t>
      </w:r>
      <w:r w:rsidR="00FA22E4">
        <w:t>.</w:t>
      </w:r>
    </w:p>
    <w:p w14:paraId="0089B9F6" w14:textId="77777777" w:rsidR="00C615AB" w:rsidRDefault="00C615AB" w:rsidP="00E223C4">
      <w:pPr>
        <w:spacing w:line="480" w:lineRule="auto"/>
        <w:jc w:val="both"/>
      </w:pPr>
      <w:r>
        <w:t>View at: Publisher Site | Google Scholar</w:t>
      </w:r>
    </w:p>
    <w:p w14:paraId="3EAFB609" w14:textId="42933D9A" w:rsidR="00C615AB" w:rsidRDefault="00C615AB" w:rsidP="00E223C4">
      <w:pPr>
        <w:spacing w:line="480" w:lineRule="auto"/>
        <w:jc w:val="both"/>
      </w:pPr>
      <w:r>
        <w:t xml:space="preserve">J. G. </w:t>
      </w:r>
      <w:proofErr w:type="spellStart"/>
      <w:r>
        <w:t>Leid</w:t>
      </w:r>
      <w:proofErr w:type="spellEnd"/>
      <w:r>
        <w:t xml:space="preserve">, M. E. </w:t>
      </w:r>
      <w:proofErr w:type="spellStart"/>
      <w:r>
        <w:t>Shirtliff</w:t>
      </w:r>
      <w:proofErr w:type="spellEnd"/>
      <w:r>
        <w:t xml:space="preserve">, J. W. </w:t>
      </w:r>
      <w:proofErr w:type="spellStart"/>
      <w:r>
        <w:t>Costerton</w:t>
      </w:r>
      <w:proofErr w:type="spellEnd"/>
      <w:r>
        <w:t xml:space="preserve">, and P. </w:t>
      </w:r>
      <w:proofErr w:type="spellStart"/>
      <w:r>
        <w:t>Stoodley</w:t>
      </w:r>
      <w:proofErr w:type="spellEnd"/>
      <w:r>
        <w:t>,</w:t>
      </w:r>
      <w:r w:rsidR="00FA22E4">
        <w:t>(2002)</w:t>
      </w:r>
      <w:r>
        <w:t xml:space="preserve"> “Human leukocytes adhere to, penetrate, and respond to Staphylococcus aureus biofilms,” Infection and Immunity, vol. 70, no. 11, pp. 6339–6345</w:t>
      </w:r>
      <w:r w:rsidR="00FA22E4">
        <w:t>.</w:t>
      </w:r>
    </w:p>
    <w:p w14:paraId="75E73C6D" w14:textId="77777777" w:rsidR="00C615AB" w:rsidRDefault="00C615AB" w:rsidP="00E223C4">
      <w:pPr>
        <w:spacing w:line="480" w:lineRule="auto"/>
        <w:jc w:val="both"/>
      </w:pPr>
      <w:r>
        <w:t>View at: Publisher Site | Google Scholar</w:t>
      </w:r>
    </w:p>
    <w:p w14:paraId="43062000" w14:textId="61EA95C1" w:rsidR="00C615AB" w:rsidRDefault="00C615AB" w:rsidP="00E223C4">
      <w:pPr>
        <w:spacing w:line="480" w:lineRule="auto"/>
        <w:jc w:val="both"/>
      </w:pPr>
      <w:r>
        <w:t xml:space="preserve">A. J. </w:t>
      </w:r>
      <w:proofErr w:type="spellStart"/>
      <w:r>
        <w:t>Jesaitis</w:t>
      </w:r>
      <w:proofErr w:type="spellEnd"/>
      <w:r>
        <w:t xml:space="preserve">, M. J. Franklin, D. Berglund et al., </w:t>
      </w:r>
      <w:r w:rsidR="008E49AE">
        <w:t xml:space="preserve">(2002) </w:t>
      </w:r>
      <w:r>
        <w:t xml:space="preserve">“Compromised host </w:t>
      </w:r>
      <w:proofErr w:type="spellStart"/>
      <w:r>
        <w:t>defense</w:t>
      </w:r>
      <w:proofErr w:type="spellEnd"/>
      <w:r>
        <w:t xml:space="preserve"> on Pseudomonas </w:t>
      </w:r>
      <w:proofErr w:type="spellStart"/>
      <w:r>
        <w:t>aerugionsa</w:t>
      </w:r>
      <w:proofErr w:type="spellEnd"/>
      <w:r>
        <w:t xml:space="preserve"> biofilms: characterisation of neutrophil and biofilm interactions,” Journal of Immunology, vol. 171, pp. 4329–4339</w:t>
      </w:r>
      <w:r w:rsidR="008E49AE">
        <w:t xml:space="preserve">. </w:t>
      </w:r>
    </w:p>
    <w:p w14:paraId="5D068A52" w14:textId="77777777" w:rsidR="00C615AB" w:rsidRDefault="00C615AB" w:rsidP="00E223C4">
      <w:pPr>
        <w:spacing w:line="480" w:lineRule="auto"/>
        <w:jc w:val="both"/>
      </w:pPr>
      <w:r>
        <w:t>View at: Google Scholar</w:t>
      </w:r>
    </w:p>
    <w:p w14:paraId="5EF56253" w14:textId="2E6690DA" w:rsidR="00C615AB" w:rsidRDefault="00C615AB" w:rsidP="00E223C4">
      <w:pPr>
        <w:spacing w:line="480" w:lineRule="auto"/>
        <w:jc w:val="both"/>
      </w:pPr>
      <w:r>
        <w:t xml:space="preserve">F. </w:t>
      </w:r>
      <w:proofErr w:type="spellStart"/>
      <w:r>
        <w:t>Günther</w:t>
      </w:r>
      <w:proofErr w:type="spellEnd"/>
      <w:r>
        <w:t xml:space="preserve">, G. H. </w:t>
      </w:r>
      <w:proofErr w:type="spellStart"/>
      <w:r>
        <w:t>Wabnitz</w:t>
      </w:r>
      <w:proofErr w:type="spellEnd"/>
      <w:r>
        <w:t>, P. Stroh et al.</w:t>
      </w:r>
      <w:r w:rsidR="008738A5">
        <w:t>(2009)</w:t>
      </w:r>
      <w:r>
        <w:t xml:space="preserve">, “Host defence against Staphylococcus aureus biofilms infection: phagocytosis of biofilms by </w:t>
      </w:r>
      <w:proofErr w:type="spellStart"/>
      <w:r>
        <w:t>polymorphonuclear</w:t>
      </w:r>
      <w:proofErr w:type="spellEnd"/>
      <w:r>
        <w:t xml:space="preserve"> neutrophils (PMN),” Molecular Immunology, vol. 46, pp. 1805–1813, </w:t>
      </w:r>
    </w:p>
    <w:p w14:paraId="06C9F1A2" w14:textId="77777777" w:rsidR="00C615AB" w:rsidRDefault="00C615AB" w:rsidP="00E223C4">
      <w:pPr>
        <w:spacing w:line="480" w:lineRule="auto"/>
        <w:jc w:val="both"/>
      </w:pPr>
      <w:r>
        <w:t>View at: Google Scholar</w:t>
      </w:r>
    </w:p>
    <w:p w14:paraId="0C478169" w14:textId="25082FD9" w:rsidR="00C615AB" w:rsidRDefault="00C615AB" w:rsidP="00E223C4">
      <w:pPr>
        <w:spacing w:line="480" w:lineRule="auto"/>
        <w:jc w:val="both"/>
      </w:pPr>
      <w:r>
        <w:lastRenderedPageBreak/>
        <w:t xml:space="preserve">C. Wagner, K. </w:t>
      </w:r>
      <w:proofErr w:type="spellStart"/>
      <w:r>
        <w:t>Kondella</w:t>
      </w:r>
      <w:proofErr w:type="spellEnd"/>
      <w:r>
        <w:t xml:space="preserve">, T. </w:t>
      </w:r>
      <w:proofErr w:type="spellStart"/>
      <w:r>
        <w:t>Bernschneider</w:t>
      </w:r>
      <w:proofErr w:type="spellEnd"/>
      <w:r>
        <w:t xml:space="preserve">, V. </w:t>
      </w:r>
      <w:proofErr w:type="spellStart"/>
      <w:r>
        <w:t>Heppert</w:t>
      </w:r>
      <w:proofErr w:type="spellEnd"/>
      <w:r>
        <w:t xml:space="preserve">, A. </w:t>
      </w:r>
      <w:proofErr w:type="spellStart"/>
      <w:r>
        <w:t>Wentzensen</w:t>
      </w:r>
      <w:proofErr w:type="spellEnd"/>
      <w:r>
        <w:t xml:space="preserve">, and G. M. </w:t>
      </w:r>
      <w:proofErr w:type="spellStart"/>
      <w:r>
        <w:t>Hänsch</w:t>
      </w:r>
      <w:proofErr w:type="spellEnd"/>
      <w:r w:rsidR="008738A5">
        <w:t xml:space="preserve"> (2003)</w:t>
      </w:r>
      <w:r>
        <w:t xml:space="preserve"> “Post-Traumatic </w:t>
      </w:r>
      <w:proofErr w:type="spellStart"/>
      <w:r>
        <w:t>osteitis</w:t>
      </w:r>
      <w:proofErr w:type="spellEnd"/>
      <w:r>
        <w:t>: analysis of inflammatory cells recruited into the site of infection,” Shock, vol. 20, pp. 503–510</w:t>
      </w:r>
      <w:r w:rsidR="000E1007">
        <w:t>.</w:t>
      </w:r>
    </w:p>
    <w:p w14:paraId="2E3C5D68" w14:textId="77777777" w:rsidR="00C615AB" w:rsidRDefault="00C615AB" w:rsidP="00E223C4">
      <w:pPr>
        <w:spacing w:line="480" w:lineRule="auto"/>
        <w:jc w:val="both"/>
      </w:pPr>
      <w:r>
        <w:t>View at: Google Scholar</w:t>
      </w:r>
    </w:p>
    <w:p w14:paraId="5CD82477" w14:textId="08D5F343" w:rsidR="00C615AB" w:rsidRDefault="00C615AB" w:rsidP="00E223C4">
      <w:pPr>
        <w:spacing w:line="480" w:lineRule="auto"/>
        <w:jc w:val="both"/>
      </w:pPr>
      <w:r>
        <w:t xml:space="preserve">C. Wagner, A. </w:t>
      </w:r>
      <w:proofErr w:type="spellStart"/>
      <w:r>
        <w:t>Kaksa</w:t>
      </w:r>
      <w:proofErr w:type="spellEnd"/>
      <w:r>
        <w:t xml:space="preserve">, W. Müller </w:t>
      </w:r>
      <w:r w:rsidR="000E1007">
        <w:t>(2004)</w:t>
      </w:r>
      <w:r>
        <w:t>., “</w:t>
      </w:r>
      <w:proofErr w:type="spellStart"/>
      <w:r>
        <w:t>Polymorphonuclear</w:t>
      </w:r>
      <w:proofErr w:type="spellEnd"/>
      <w:r>
        <w:t xml:space="preserve"> neutrophils in posttraumatic osteomyelitis: cells recovered from the inflamed site lack chemotactic activity but generate </w:t>
      </w:r>
      <w:proofErr w:type="spellStart"/>
      <w:r>
        <w:t>superoxides</w:t>
      </w:r>
      <w:proofErr w:type="spellEnd"/>
      <w:r>
        <w:t>,” Shock, vol. 22, no. 2, pp. 108–115</w:t>
      </w:r>
      <w:r w:rsidR="000E1007">
        <w:t>.</w:t>
      </w:r>
    </w:p>
    <w:p w14:paraId="6AFBC038" w14:textId="77777777" w:rsidR="00C615AB" w:rsidRDefault="00C615AB" w:rsidP="00E223C4">
      <w:pPr>
        <w:spacing w:line="480" w:lineRule="auto"/>
        <w:jc w:val="both"/>
      </w:pPr>
      <w:r>
        <w:t>View at: Publisher Site | Google Scholar</w:t>
      </w:r>
    </w:p>
    <w:p w14:paraId="570A2020" w14:textId="0EBE693E" w:rsidR="00C615AB" w:rsidRDefault="00C615AB" w:rsidP="00E223C4">
      <w:pPr>
        <w:spacing w:line="480" w:lineRule="auto"/>
        <w:jc w:val="both"/>
      </w:pPr>
      <w:r>
        <w:t xml:space="preserve">F. Zimmermann, K. </w:t>
      </w:r>
      <w:proofErr w:type="spellStart"/>
      <w:r>
        <w:t>Lautenschläger</w:t>
      </w:r>
      <w:proofErr w:type="spellEnd"/>
      <w:r>
        <w:t xml:space="preserve">, V. </w:t>
      </w:r>
      <w:proofErr w:type="spellStart"/>
      <w:r>
        <w:t>Heppert</w:t>
      </w:r>
      <w:proofErr w:type="spellEnd"/>
      <w:r>
        <w:t xml:space="preserve">, A. </w:t>
      </w:r>
      <w:proofErr w:type="spellStart"/>
      <w:r>
        <w:t>Wentzensen</w:t>
      </w:r>
      <w:proofErr w:type="spellEnd"/>
      <w:r>
        <w:t xml:space="preserve">, G. M. </w:t>
      </w:r>
      <w:proofErr w:type="spellStart"/>
      <w:r>
        <w:t>Haänsch</w:t>
      </w:r>
      <w:proofErr w:type="spellEnd"/>
      <w:r>
        <w:t>, and C. Wagner</w:t>
      </w:r>
      <w:r w:rsidR="000E1007">
        <w:t>(2005)</w:t>
      </w:r>
      <w:r>
        <w:t xml:space="preserve">, “Expression of elastase on </w:t>
      </w:r>
      <w:proofErr w:type="spellStart"/>
      <w:r>
        <w:t>polymorphonuclear</w:t>
      </w:r>
      <w:proofErr w:type="spellEnd"/>
      <w:r>
        <w:t xml:space="preserve"> neutrophils in vitro and in vivo: identification of CD11b as ligand for the surface-bound elastase,” Shock, vol. 23, no. 3, pp. 216–223</w:t>
      </w:r>
      <w:r w:rsidR="000E1007">
        <w:t>.</w:t>
      </w:r>
    </w:p>
    <w:p w14:paraId="3A7F4829" w14:textId="77777777" w:rsidR="00C615AB" w:rsidRDefault="00C615AB" w:rsidP="00E223C4">
      <w:pPr>
        <w:spacing w:line="480" w:lineRule="auto"/>
        <w:jc w:val="both"/>
      </w:pPr>
      <w:r>
        <w:t>View at: Publisher Site | Google Scholar</w:t>
      </w:r>
    </w:p>
    <w:p w14:paraId="4000333F" w14:textId="3045226B" w:rsidR="00C615AB" w:rsidRDefault="00C615AB" w:rsidP="00E223C4">
      <w:pPr>
        <w:spacing w:line="480" w:lineRule="auto"/>
        <w:jc w:val="both"/>
      </w:pPr>
      <w:r>
        <w:t xml:space="preserve">D. </w:t>
      </w:r>
      <w:proofErr w:type="spellStart"/>
      <w:r>
        <w:t>Kabelitz</w:t>
      </w:r>
      <w:proofErr w:type="spellEnd"/>
      <w:r>
        <w:t>, “Expression and function of Toll-like receptors on T lymphocytes,</w:t>
      </w:r>
      <w:r w:rsidR="00E56929">
        <w:t>(2007)</w:t>
      </w:r>
      <w:r>
        <w:t xml:space="preserve"> Current Opinion in Immunology, vol. 19, pp. 39–45</w:t>
      </w:r>
      <w:r w:rsidR="00E56929">
        <w:t>.</w:t>
      </w:r>
    </w:p>
    <w:p w14:paraId="62BAD65F" w14:textId="77777777" w:rsidR="00C615AB" w:rsidRDefault="00C615AB" w:rsidP="00E223C4">
      <w:pPr>
        <w:spacing w:line="480" w:lineRule="auto"/>
        <w:jc w:val="both"/>
      </w:pPr>
      <w:r>
        <w:t>View at: Google Scholar</w:t>
      </w:r>
    </w:p>
    <w:p w14:paraId="34BED63A" w14:textId="509B8404" w:rsidR="00C615AB" w:rsidRDefault="00C615AB" w:rsidP="00E223C4">
      <w:pPr>
        <w:spacing w:line="480" w:lineRule="auto"/>
        <w:jc w:val="both"/>
      </w:pPr>
      <w:r>
        <w:t xml:space="preserve">A. Iwasaki and R. </w:t>
      </w:r>
      <w:proofErr w:type="spellStart"/>
      <w:r>
        <w:t>Medzhitov</w:t>
      </w:r>
      <w:proofErr w:type="spellEnd"/>
      <w:r>
        <w:t>,</w:t>
      </w:r>
      <w:r w:rsidR="00E56929">
        <w:t>(2004)</w:t>
      </w:r>
      <w:r>
        <w:t xml:space="preserve"> “Toll-like receptors control the adaptive immune response,” Nature Immunology, vol. 5, pp. 987–995, </w:t>
      </w:r>
    </w:p>
    <w:p w14:paraId="182D2F23" w14:textId="77777777" w:rsidR="00C615AB" w:rsidRDefault="00C615AB" w:rsidP="00E223C4">
      <w:pPr>
        <w:spacing w:line="480" w:lineRule="auto"/>
        <w:jc w:val="both"/>
      </w:pPr>
      <w:r>
        <w:t>View at: Google Scholar</w:t>
      </w:r>
    </w:p>
    <w:p w14:paraId="187610CF" w14:textId="23530B61" w:rsidR="00C615AB" w:rsidRDefault="00C615AB" w:rsidP="00E223C4">
      <w:pPr>
        <w:spacing w:line="480" w:lineRule="auto"/>
        <w:jc w:val="both"/>
      </w:pPr>
      <w:r>
        <w:t xml:space="preserve">S. K. </w:t>
      </w:r>
      <w:proofErr w:type="spellStart"/>
      <w:r>
        <w:t>Datta</w:t>
      </w:r>
      <w:proofErr w:type="spellEnd"/>
      <w:r>
        <w:t xml:space="preserve"> and E. </w:t>
      </w:r>
      <w:proofErr w:type="spellStart"/>
      <w:r>
        <w:t>Raz</w:t>
      </w:r>
      <w:proofErr w:type="spellEnd"/>
      <w:r>
        <w:t>,</w:t>
      </w:r>
      <w:r w:rsidR="0069536B">
        <w:t>(2005)</w:t>
      </w:r>
      <w:r>
        <w:t xml:space="preserve"> “Induction of antigen cross-presentation by Toll-like receptors,” Springer Seminars in Immunopathology, vol. 26, no. 3, pp. 247–255, </w:t>
      </w:r>
    </w:p>
    <w:p w14:paraId="046F866E" w14:textId="77777777" w:rsidR="00C615AB" w:rsidRDefault="00C615AB" w:rsidP="00E223C4">
      <w:pPr>
        <w:spacing w:line="480" w:lineRule="auto"/>
        <w:jc w:val="both"/>
      </w:pPr>
      <w:r>
        <w:t>View at: Publisher Site | Google Scholar</w:t>
      </w:r>
    </w:p>
    <w:p w14:paraId="4584EA66" w14:textId="1A00082D" w:rsidR="00C615AB" w:rsidRDefault="00C615AB" w:rsidP="00E223C4">
      <w:pPr>
        <w:spacing w:line="480" w:lineRule="auto"/>
        <w:jc w:val="both"/>
      </w:pPr>
      <w:r>
        <w:lastRenderedPageBreak/>
        <w:t xml:space="preserve">T. </w:t>
      </w:r>
      <w:proofErr w:type="spellStart"/>
      <w:r>
        <w:t>Imanishi</w:t>
      </w:r>
      <w:proofErr w:type="spellEnd"/>
      <w:r>
        <w:t>, H. Hara, S. Suzuki, N. Suzuki, S. Akira, and T. Saito,</w:t>
      </w:r>
      <w:r w:rsidR="00381027">
        <w:t>(2007)</w:t>
      </w:r>
      <w:r>
        <w:t xml:space="preserve"> “Cutting edge: TLR2 directly triggers Th1 effector functions,” Journal of Immunology, vol. 178, no. 11, pp. 6715–6719,</w:t>
      </w:r>
    </w:p>
    <w:p w14:paraId="38484D33" w14:textId="4EC61FEC" w:rsidR="00EA49BA" w:rsidRPr="00EA49BA" w:rsidRDefault="00EA49BA" w:rsidP="00E223C4">
      <w:pPr>
        <w:spacing w:line="480" w:lineRule="auto"/>
        <w:jc w:val="both"/>
        <w:rPr>
          <w:rFonts w:ascii="Times New Roman" w:hAnsi="Times New Roman" w:cs="Times New Roman"/>
          <w:lang w:val="en-US"/>
        </w:rPr>
      </w:pPr>
      <w:proofErr w:type="spellStart"/>
      <w:r w:rsidRPr="00EA49BA">
        <w:rPr>
          <w:rFonts w:ascii="Times New Roman" w:hAnsi="Times New Roman" w:cs="Times New Roman"/>
          <w:lang w:val="en-US"/>
        </w:rPr>
        <w:t>Waldvogel</w:t>
      </w:r>
      <w:proofErr w:type="spellEnd"/>
      <w:r w:rsidRPr="00EA49BA">
        <w:rPr>
          <w:rFonts w:ascii="Times New Roman" w:hAnsi="Times New Roman" w:cs="Times New Roman"/>
          <w:lang w:val="en-US"/>
        </w:rPr>
        <w:t xml:space="preserve"> FA, </w:t>
      </w:r>
      <w:proofErr w:type="spellStart"/>
      <w:r w:rsidRPr="00EA49BA">
        <w:rPr>
          <w:rFonts w:ascii="Times New Roman" w:hAnsi="Times New Roman" w:cs="Times New Roman"/>
          <w:lang w:val="en-US"/>
        </w:rPr>
        <w:t>Vasey</w:t>
      </w:r>
      <w:proofErr w:type="spellEnd"/>
      <w:r w:rsidRPr="00EA49BA">
        <w:rPr>
          <w:rFonts w:ascii="Times New Roman" w:hAnsi="Times New Roman" w:cs="Times New Roman"/>
          <w:lang w:val="en-US"/>
        </w:rPr>
        <w:t xml:space="preserve"> H(1980). 0steimyelitis: the past decade </w:t>
      </w:r>
      <w:proofErr w:type="spellStart"/>
      <w:r w:rsidRPr="00EA49BA">
        <w:rPr>
          <w:rFonts w:ascii="Times New Roman" w:hAnsi="Times New Roman" w:cs="Times New Roman"/>
          <w:lang w:val="en-US"/>
        </w:rPr>
        <w:t>Engl</w:t>
      </w:r>
      <w:proofErr w:type="spellEnd"/>
      <w:r w:rsidRPr="00EA49BA">
        <w:rPr>
          <w:rFonts w:ascii="Times New Roman" w:hAnsi="Times New Roman" w:cs="Times New Roman"/>
          <w:lang w:val="en-US"/>
        </w:rPr>
        <w:t xml:space="preserve"> J Med. 303:360. </w:t>
      </w:r>
    </w:p>
    <w:p w14:paraId="48C667DB" w14:textId="77777777" w:rsidR="00EA49BA" w:rsidRPr="00EA49BA" w:rsidRDefault="00EA49BA" w:rsidP="00FD25E2">
      <w:pPr>
        <w:spacing w:line="480" w:lineRule="auto"/>
        <w:jc w:val="both"/>
        <w:rPr>
          <w:rFonts w:ascii="Times New Roman" w:hAnsi="Times New Roman" w:cs="Times New Roman"/>
          <w:lang w:val="en-US"/>
        </w:rPr>
      </w:pPr>
    </w:p>
    <w:p w14:paraId="7E8B1D96" w14:textId="625C356B"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Weistein</w:t>
      </w:r>
      <w:proofErr w:type="spellEnd"/>
      <w:r w:rsidRPr="00EA49BA">
        <w:rPr>
          <w:rFonts w:ascii="Times New Roman" w:hAnsi="Times New Roman" w:cs="Times New Roman"/>
          <w:lang w:val="en-US"/>
        </w:rPr>
        <w:t xml:space="preserve"> AJ. (1981). 0steomyelitis: microbiologic, clinical and therapeutic considerations. Prim Care. 8:557 </w:t>
      </w:r>
    </w:p>
    <w:p w14:paraId="39FB0C50" w14:textId="77777777" w:rsidR="00EA49BA" w:rsidRPr="00EA49BA" w:rsidRDefault="00EA49BA" w:rsidP="00FD25E2">
      <w:pPr>
        <w:spacing w:line="480" w:lineRule="auto"/>
        <w:jc w:val="both"/>
        <w:rPr>
          <w:rFonts w:ascii="Times New Roman" w:hAnsi="Times New Roman" w:cs="Times New Roman"/>
          <w:lang w:val="en-US"/>
        </w:rPr>
      </w:pPr>
    </w:p>
    <w:p w14:paraId="6F14269C" w14:textId="067A3A0B"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Gentry L0. (1987). 0verview of osteomyelitis. Ortho Rev.16:255. </w:t>
      </w:r>
    </w:p>
    <w:p w14:paraId="731A2ECC" w14:textId="77777777" w:rsidR="00EA49BA" w:rsidRPr="00EA49BA" w:rsidRDefault="00EA49BA" w:rsidP="00FD25E2">
      <w:pPr>
        <w:spacing w:line="480" w:lineRule="auto"/>
        <w:jc w:val="both"/>
        <w:rPr>
          <w:rFonts w:ascii="Times New Roman" w:hAnsi="Times New Roman" w:cs="Times New Roman"/>
          <w:lang w:val="en-US"/>
        </w:rPr>
      </w:pPr>
    </w:p>
    <w:p w14:paraId="0632896E" w14:textId="304D7A95"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Edwards MS</w:t>
      </w:r>
      <w:r w:rsidRPr="00EA49BA">
        <w:rPr>
          <w:rFonts w:ascii="Times New Roman" w:hAnsi="Times New Roman" w:cs="Times New Roman"/>
          <w:i/>
          <w:iCs/>
          <w:lang w:val="en-US"/>
        </w:rPr>
        <w:t>, et.al,</w:t>
      </w:r>
      <w:r w:rsidRPr="00EA49BA">
        <w:rPr>
          <w:rFonts w:ascii="Times New Roman" w:hAnsi="Times New Roman" w:cs="Times New Roman"/>
          <w:lang w:val="en-US"/>
        </w:rPr>
        <w:t xml:space="preserve"> (1978). An etiologic shift in infantile osteomyelitis: the emergence of the group B streptococcus. J. </w:t>
      </w:r>
      <w:proofErr w:type="spellStart"/>
      <w:r w:rsidRPr="00EA49BA">
        <w:rPr>
          <w:rFonts w:ascii="Times New Roman" w:hAnsi="Times New Roman" w:cs="Times New Roman"/>
          <w:lang w:val="en-US"/>
        </w:rPr>
        <w:t>Pediatr</w:t>
      </w:r>
      <w:proofErr w:type="spellEnd"/>
      <w:r w:rsidRPr="00EA49BA">
        <w:rPr>
          <w:rFonts w:ascii="Times New Roman" w:hAnsi="Times New Roman" w:cs="Times New Roman"/>
          <w:lang w:val="en-US"/>
        </w:rPr>
        <w:t xml:space="preserve">. 93:578. </w:t>
      </w:r>
    </w:p>
    <w:p w14:paraId="5BCEE6A6" w14:textId="77777777" w:rsidR="00EA49BA" w:rsidRPr="00EA49BA" w:rsidRDefault="00EA49BA" w:rsidP="00FD25E2">
      <w:pPr>
        <w:spacing w:line="480" w:lineRule="auto"/>
        <w:jc w:val="both"/>
        <w:rPr>
          <w:rFonts w:ascii="Times New Roman" w:hAnsi="Times New Roman" w:cs="Times New Roman"/>
          <w:lang w:val="en-US"/>
        </w:rPr>
      </w:pPr>
    </w:p>
    <w:p w14:paraId="29A5DC7B" w14:textId="336F1F28"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Howard AW, </w:t>
      </w:r>
      <w:r w:rsidRPr="00EA49BA">
        <w:rPr>
          <w:rFonts w:ascii="Times New Roman" w:hAnsi="Times New Roman" w:cs="Times New Roman"/>
          <w:i/>
          <w:iCs/>
          <w:lang w:val="en-US"/>
        </w:rPr>
        <w:t>et al.(</w:t>
      </w:r>
      <w:r w:rsidRPr="00EA49BA">
        <w:rPr>
          <w:rFonts w:ascii="Times New Roman" w:hAnsi="Times New Roman" w:cs="Times New Roman"/>
          <w:lang w:val="en-US"/>
        </w:rPr>
        <w:t xml:space="preserve">1999). Reduction in osteomyelitis and septic arthritis related to </w:t>
      </w:r>
      <w:proofErr w:type="spellStart"/>
      <w:r w:rsidRPr="00EA49BA">
        <w:rPr>
          <w:rFonts w:ascii="Times New Roman" w:hAnsi="Times New Roman" w:cs="Times New Roman"/>
          <w:lang w:val="en-US"/>
        </w:rPr>
        <w:t>Haemophilus</w:t>
      </w:r>
      <w:proofErr w:type="spellEnd"/>
      <w:r w:rsidRPr="00EA49BA">
        <w:rPr>
          <w:rFonts w:ascii="Times New Roman" w:hAnsi="Times New Roman" w:cs="Times New Roman"/>
          <w:lang w:val="en-US"/>
        </w:rPr>
        <w:t xml:space="preserve"> influenza type B vaccination. J </w:t>
      </w:r>
      <w:proofErr w:type="spellStart"/>
      <w:r w:rsidRPr="00EA49BA">
        <w:rPr>
          <w:rFonts w:ascii="Times New Roman" w:hAnsi="Times New Roman" w:cs="Times New Roman"/>
          <w:lang w:val="en-US"/>
        </w:rPr>
        <w:t>Pediatr</w:t>
      </w:r>
      <w:proofErr w:type="spellEnd"/>
      <w:r w:rsidRPr="00EA49BA">
        <w:rPr>
          <w:rFonts w:ascii="Times New Roman" w:hAnsi="Times New Roman" w:cs="Times New Roman"/>
          <w:lang w:val="en-US"/>
        </w:rPr>
        <w:t xml:space="preserve"> 0rthop. 19:705. </w:t>
      </w:r>
    </w:p>
    <w:p w14:paraId="5B08223E" w14:textId="77777777" w:rsidR="00EA49BA" w:rsidRPr="00EA49BA" w:rsidRDefault="00EA49BA" w:rsidP="00FD25E2">
      <w:pPr>
        <w:spacing w:line="480" w:lineRule="auto"/>
        <w:jc w:val="both"/>
        <w:rPr>
          <w:rFonts w:ascii="Times New Roman" w:hAnsi="Times New Roman" w:cs="Times New Roman"/>
          <w:lang w:val="en-US"/>
        </w:rPr>
      </w:pPr>
    </w:p>
    <w:p w14:paraId="32857D2D" w14:textId="7439906B"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Meyers BR, </w:t>
      </w:r>
      <w:r w:rsidRPr="00EA49BA">
        <w:rPr>
          <w:rFonts w:ascii="Times New Roman" w:hAnsi="Times New Roman" w:cs="Times New Roman"/>
          <w:i/>
          <w:iCs/>
          <w:lang w:val="en-US"/>
        </w:rPr>
        <w:t>et al</w:t>
      </w:r>
      <w:r w:rsidRPr="00EA49BA">
        <w:rPr>
          <w:rFonts w:ascii="Times New Roman" w:hAnsi="Times New Roman" w:cs="Times New Roman"/>
          <w:lang w:val="en-US"/>
        </w:rPr>
        <w:t xml:space="preserve">. (1973). Clinical patterns of osteomyelitis due to gram-negative bacteria. Arch Intern Med. 131:228. </w:t>
      </w:r>
    </w:p>
    <w:p w14:paraId="46200250" w14:textId="77777777" w:rsidR="00EA49BA" w:rsidRPr="00EA49BA" w:rsidRDefault="00EA49BA" w:rsidP="00FD25E2">
      <w:pPr>
        <w:spacing w:line="480" w:lineRule="auto"/>
        <w:jc w:val="both"/>
        <w:rPr>
          <w:rFonts w:ascii="Times New Roman" w:hAnsi="Times New Roman" w:cs="Times New Roman"/>
          <w:lang w:val="en-US"/>
        </w:rPr>
      </w:pPr>
    </w:p>
    <w:p w14:paraId="16A3E45C" w14:textId="2CDEE04D"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Brook I, Frazier EH. (1993). Anaerobic osteomyelitis due to gram-negative bacteria. A. J Med. 131:228.</w:t>
      </w:r>
    </w:p>
    <w:p w14:paraId="50FC2B80"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Osteoarthritis. National Institute of Arthritis and Musculoskeletal and Skin Diseases. https://www.nia.nih.gov/health/osteoarthritis. Accessed April 7, 2019.</w:t>
      </w:r>
    </w:p>
    <w:p w14:paraId="751DB19A" w14:textId="77777777" w:rsidR="00EA49BA" w:rsidRPr="00EA49BA" w:rsidRDefault="00EA49BA" w:rsidP="00FD25E2">
      <w:pPr>
        <w:spacing w:line="480" w:lineRule="auto"/>
        <w:jc w:val="both"/>
        <w:rPr>
          <w:rFonts w:ascii="Times New Roman" w:hAnsi="Times New Roman" w:cs="Times New Roman"/>
          <w:lang w:val="en-US"/>
        </w:rPr>
      </w:pPr>
    </w:p>
    <w:p w14:paraId="0F335490" w14:textId="77777777" w:rsidR="00EA49BA" w:rsidRPr="00EA49BA" w:rsidRDefault="00EA49BA" w:rsidP="00FD25E2">
      <w:pPr>
        <w:spacing w:line="480" w:lineRule="auto"/>
        <w:jc w:val="both"/>
        <w:rPr>
          <w:rFonts w:ascii="Times New Roman" w:hAnsi="Times New Roman" w:cs="Times New Roman"/>
          <w:lang w:val="en-US"/>
        </w:rPr>
      </w:pPr>
      <w:proofErr w:type="spellStart"/>
      <w:r w:rsidRPr="00EA49BA">
        <w:rPr>
          <w:rFonts w:ascii="Times New Roman" w:hAnsi="Times New Roman" w:cs="Times New Roman"/>
          <w:lang w:val="en-US"/>
        </w:rPr>
        <w:t>AskMayoExpert</w:t>
      </w:r>
      <w:proofErr w:type="spellEnd"/>
      <w:r w:rsidRPr="00EA49BA">
        <w:rPr>
          <w:rFonts w:ascii="Times New Roman" w:hAnsi="Times New Roman" w:cs="Times New Roman"/>
          <w:lang w:val="en-US"/>
        </w:rPr>
        <w:t>. Osteoarthritis (adult). Rochester, Minn.: Mayo Foundation for Medical Education and Research; 2018.</w:t>
      </w:r>
    </w:p>
    <w:p w14:paraId="3F3FD647" w14:textId="77777777" w:rsidR="00EA49BA" w:rsidRPr="00EA49BA" w:rsidRDefault="00EA49BA" w:rsidP="00FD25E2">
      <w:pPr>
        <w:spacing w:line="480" w:lineRule="auto"/>
        <w:jc w:val="both"/>
        <w:rPr>
          <w:rFonts w:ascii="Times New Roman" w:hAnsi="Times New Roman" w:cs="Times New Roman"/>
          <w:lang w:val="en-US"/>
        </w:rPr>
      </w:pPr>
    </w:p>
    <w:p w14:paraId="0F0C43F4" w14:textId="2830EC1E"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Vincent TL, et al</w:t>
      </w:r>
      <w:r>
        <w:rPr>
          <w:rFonts w:ascii="Times New Roman" w:hAnsi="Times New Roman" w:cs="Times New Roman"/>
          <w:lang w:val="en-US"/>
        </w:rPr>
        <w:t xml:space="preserve"> (</w:t>
      </w:r>
      <w:r w:rsidRPr="00EA49BA">
        <w:rPr>
          <w:rFonts w:ascii="Times New Roman" w:hAnsi="Times New Roman" w:cs="Times New Roman"/>
          <w:lang w:val="en-US"/>
        </w:rPr>
        <w:t>2018</w:t>
      </w:r>
      <w:r>
        <w:rPr>
          <w:rFonts w:ascii="Times New Roman" w:hAnsi="Times New Roman" w:cs="Times New Roman"/>
          <w:lang w:val="en-US"/>
        </w:rPr>
        <w:t>)</w:t>
      </w:r>
      <w:r w:rsidRPr="00EA49BA">
        <w:rPr>
          <w:rFonts w:ascii="Times New Roman" w:hAnsi="Times New Roman" w:cs="Times New Roman"/>
          <w:lang w:val="en-US"/>
        </w:rPr>
        <w:t>. Osteoarthritis. Medicine.;43:187.</w:t>
      </w:r>
    </w:p>
    <w:p w14:paraId="6497992B" w14:textId="77777777" w:rsidR="00EA49BA" w:rsidRPr="00EA49BA" w:rsidRDefault="00EA49BA" w:rsidP="00FD25E2">
      <w:pPr>
        <w:spacing w:line="480" w:lineRule="auto"/>
        <w:jc w:val="both"/>
        <w:rPr>
          <w:rFonts w:ascii="Times New Roman" w:hAnsi="Times New Roman" w:cs="Times New Roman"/>
          <w:lang w:val="en-US"/>
        </w:rPr>
      </w:pPr>
    </w:p>
    <w:p w14:paraId="7D4FAAA2" w14:textId="27638998" w:rsidR="00EA49BA" w:rsidRDefault="00EA49BA" w:rsidP="00FD25E2">
      <w:pPr>
        <w:spacing w:line="480" w:lineRule="auto"/>
        <w:jc w:val="both"/>
        <w:rPr>
          <w:rFonts w:ascii="Times New Roman" w:hAnsi="Times New Roman" w:cs="Times New Roman"/>
          <w:lang w:val="en-US"/>
        </w:rPr>
      </w:pPr>
      <w:proofErr w:type="spellStart"/>
      <w:r w:rsidRPr="00EA49BA">
        <w:rPr>
          <w:rFonts w:ascii="Times New Roman" w:hAnsi="Times New Roman" w:cs="Times New Roman"/>
          <w:lang w:val="en-US"/>
        </w:rPr>
        <w:t>Rakel</w:t>
      </w:r>
      <w:proofErr w:type="spellEnd"/>
      <w:r w:rsidRPr="00EA49BA">
        <w:rPr>
          <w:rFonts w:ascii="Times New Roman" w:hAnsi="Times New Roman" w:cs="Times New Roman"/>
          <w:lang w:val="en-US"/>
        </w:rPr>
        <w:t xml:space="preserve"> D</w:t>
      </w:r>
      <w:r>
        <w:rPr>
          <w:rFonts w:ascii="Times New Roman" w:hAnsi="Times New Roman" w:cs="Times New Roman"/>
          <w:lang w:val="en-US"/>
        </w:rPr>
        <w:t xml:space="preserve"> (2019) </w:t>
      </w:r>
      <w:r w:rsidRPr="00EA49BA">
        <w:rPr>
          <w:rFonts w:ascii="Times New Roman" w:hAnsi="Times New Roman" w:cs="Times New Roman"/>
          <w:lang w:val="en-US"/>
        </w:rPr>
        <w:t xml:space="preserve">, ed. Osteoarthritis. In: Integrative Medicine. 4th ed. Philadelphia, Pa.: Elsevier; 2018. https://www.clinicalkey.com. </w:t>
      </w:r>
    </w:p>
    <w:p w14:paraId="2A4C8DEA" w14:textId="55ED2498" w:rsidR="00EA49BA" w:rsidRDefault="00EA49BA" w:rsidP="00FD25E2">
      <w:pPr>
        <w:spacing w:line="480" w:lineRule="auto"/>
        <w:jc w:val="both"/>
        <w:rPr>
          <w:rFonts w:ascii="Times New Roman" w:hAnsi="Times New Roman" w:cs="Times New Roman"/>
          <w:lang w:val="en-US"/>
        </w:rPr>
      </w:pPr>
    </w:p>
    <w:p w14:paraId="05A1CC37" w14:textId="36F985BD" w:rsidR="00EA49BA" w:rsidRPr="00EA49BA" w:rsidRDefault="00EA49BA" w:rsidP="00FD25E2">
      <w:pPr>
        <w:spacing w:line="480" w:lineRule="auto"/>
        <w:jc w:val="both"/>
        <w:rPr>
          <w:rFonts w:ascii="Times New Roman" w:hAnsi="Times New Roman" w:cs="Times New Roman"/>
          <w:lang w:val="en-US"/>
        </w:rPr>
      </w:pPr>
      <w:r>
        <w:rPr>
          <w:rFonts w:ascii="Times New Roman" w:hAnsi="Times New Roman" w:cs="Times New Roman"/>
          <w:lang w:val="en-US"/>
        </w:rPr>
        <w:t>Healy, Freedman (2006). Infections. BMJ 332:838-841</w:t>
      </w:r>
    </w:p>
    <w:p w14:paraId="4FC91B35" w14:textId="77172149" w:rsidR="00EA49BA" w:rsidRDefault="00EA49BA" w:rsidP="00FD25E2">
      <w:pPr>
        <w:spacing w:line="480" w:lineRule="auto"/>
        <w:jc w:val="both"/>
        <w:rPr>
          <w:rFonts w:ascii="Times New Roman" w:hAnsi="Times New Roman" w:cs="Times New Roman"/>
          <w:sz w:val="28"/>
          <w:szCs w:val="28"/>
        </w:rPr>
      </w:pPr>
    </w:p>
    <w:p w14:paraId="4D64EB66" w14:textId="20B871B8"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Carlos (2020)</w:t>
      </w:r>
      <w:r>
        <w:rPr>
          <w:rFonts w:ascii="Times New Roman" w:hAnsi="Times New Roman" w:cs="Times New Roman"/>
          <w:lang w:val="en-US"/>
        </w:rPr>
        <w:t>. Progression of osteoarthritis. Drugs and diseases</w:t>
      </w:r>
    </w:p>
    <w:p w14:paraId="5EEF696C" w14:textId="21AC3C50" w:rsidR="00EA49BA" w:rsidRDefault="00EA49BA" w:rsidP="00FD25E2">
      <w:pPr>
        <w:spacing w:line="480" w:lineRule="auto"/>
        <w:jc w:val="both"/>
        <w:rPr>
          <w:rFonts w:ascii="Times New Roman" w:hAnsi="Times New Roman" w:cs="Times New Roman"/>
          <w:lang w:val="en-US"/>
        </w:rPr>
      </w:pPr>
    </w:p>
    <w:p w14:paraId="5F48C3BF" w14:textId="4FF36641" w:rsidR="00EA49BA" w:rsidRPr="00EA49BA" w:rsidRDefault="00EA49BA" w:rsidP="00FD25E2">
      <w:pPr>
        <w:spacing w:line="480" w:lineRule="auto"/>
        <w:jc w:val="both"/>
        <w:rPr>
          <w:rFonts w:ascii="Times New Roman" w:hAnsi="Times New Roman" w:cs="Times New Roman"/>
          <w:lang w:val="en-US"/>
        </w:rPr>
      </w:pPr>
      <w:proofErr w:type="spellStart"/>
      <w:r w:rsidRPr="00EA49BA">
        <w:rPr>
          <w:rFonts w:ascii="Times New Roman" w:hAnsi="Times New Roman" w:cs="Times New Roman"/>
          <w:lang w:val="en-US"/>
        </w:rPr>
        <w:t>Maravillas</w:t>
      </w:r>
      <w:proofErr w:type="spellEnd"/>
      <w:r w:rsidRPr="00EA49BA">
        <w:rPr>
          <w:rFonts w:ascii="Times New Roman" w:hAnsi="Times New Roman" w:cs="Times New Roman"/>
          <w:lang w:val="en-US"/>
        </w:rPr>
        <w:t>-Montero JL, Acevedo-Ochoa E</w:t>
      </w:r>
      <w:r>
        <w:rPr>
          <w:rFonts w:ascii="Times New Roman" w:hAnsi="Times New Roman" w:cs="Times New Roman"/>
          <w:lang w:val="en-US"/>
        </w:rPr>
        <w:t xml:space="preserve"> (2017)</w:t>
      </w:r>
      <w:r w:rsidRPr="00EA49BA">
        <w:rPr>
          <w:rFonts w:ascii="Times New Roman" w:hAnsi="Times New Roman" w:cs="Times New Roman"/>
          <w:lang w:val="en-US"/>
        </w:rPr>
        <w:t>. Human B regulatory cells: the new</w:t>
      </w:r>
    </w:p>
    <w:p w14:paraId="058A54CD" w14:textId="0C011530"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players in autoimmune disease. Rev </w:t>
      </w:r>
      <w:proofErr w:type="spellStart"/>
      <w:r w:rsidRPr="00EA49BA">
        <w:rPr>
          <w:rFonts w:ascii="Times New Roman" w:hAnsi="Times New Roman" w:cs="Times New Roman"/>
          <w:lang w:val="en-US"/>
        </w:rPr>
        <w:t>Investig</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Clin</w:t>
      </w:r>
      <w:proofErr w:type="spellEnd"/>
      <w:r w:rsidRPr="00EA49BA">
        <w:rPr>
          <w:rFonts w:ascii="Times New Roman" w:hAnsi="Times New Roman" w:cs="Times New Roman"/>
          <w:lang w:val="en-US"/>
        </w:rPr>
        <w:t>. ;69:243–6.</w:t>
      </w:r>
    </w:p>
    <w:p w14:paraId="303F0C3D" w14:textId="77777777" w:rsidR="00EA49BA" w:rsidRPr="00EA49BA" w:rsidRDefault="00EA49BA" w:rsidP="00FD25E2">
      <w:pPr>
        <w:spacing w:line="480" w:lineRule="auto"/>
        <w:jc w:val="both"/>
        <w:rPr>
          <w:rFonts w:ascii="Times New Roman" w:hAnsi="Times New Roman" w:cs="Times New Roman"/>
          <w:lang w:val="en-US"/>
        </w:rPr>
      </w:pPr>
    </w:p>
    <w:p w14:paraId="26E3EADB" w14:textId="7822C886"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Miyagaki</w:t>
      </w:r>
      <w:proofErr w:type="spellEnd"/>
      <w:r w:rsidRPr="00EA49BA">
        <w:rPr>
          <w:rFonts w:ascii="Times New Roman" w:hAnsi="Times New Roman" w:cs="Times New Roman"/>
          <w:lang w:val="en-US"/>
        </w:rPr>
        <w:t xml:space="preserve"> T, </w:t>
      </w:r>
      <w:r>
        <w:rPr>
          <w:rFonts w:ascii="Times New Roman" w:hAnsi="Times New Roman" w:cs="Times New Roman"/>
          <w:i/>
          <w:iCs/>
          <w:lang w:val="en-US"/>
        </w:rPr>
        <w:t xml:space="preserve">et al </w:t>
      </w:r>
      <w:r>
        <w:rPr>
          <w:rFonts w:ascii="Times New Roman" w:hAnsi="Times New Roman" w:cs="Times New Roman"/>
          <w:lang w:val="en-US"/>
        </w:rPr>
        <w:t>(2015)</w:t>
      </w:r>
      <w:r w:rsidRPr="00EA49BA">
        <w:rPr>
          <w:rFonts w:ascii="Times New Roman" w:hAnsi="Times New Roman" w:cs="Times New Roman"/>
          <w:lang w:val="en-US"/>
        </w:rPr>
        <w:t>. Regulatory B cells in human inflammatory</w:t>
      </w:r>
    </w:p>
    <w:p w14:paraId="10B597BF"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and autoimmune diseases: from mouse models to clinical research. Int</w:t>
      </w:r>
    </w:p>
    <w:p w14:paraId="218B391B" w14:textId="6973AF8B" w:rsid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Immunol.;27:495–504.</w:t>
      </w:r>
    </w:p>
    <w:p w14:paraId="162252DF" w14:textId="77777777" w:rsidR="00EA49BA" w:rsidRPr="00EA49BA" w:rsidRDefault="00EA49BA" w:rsidP="00FD25E2">
      <w:pPr>
        <w:spacing w:line="480" w:lineRule="auto"/>
        <w:jc w:val="both"/>
        <w:rPr>
          <w:rFonts w:ascii="Times New Roman" w:hAnsi="Times New Roman" w:cs="Times New Roman"/>
          <w:lang w:val="en-US"/>
        </w:rPr>
      </w:pPr>
    </w:p>
    <w:p w14:paraId="751A758E" w14:textId="77A0F573"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Ray A, </w:t>
      </w:r>
      <w:proofErr w:type="spellStart"/>
      <w:r w:rsidRPr="00EA49BA">
        <w:rPr>
          <w:rFonts w:ascii="Times New Roman" w:hAnsi="Times New Roman" w:cs="Times New Roman"/>
          <w:lang w:val="en-US"/>
        </w:rPr>
        <w:t>Dittel</w:t>
      </w:r>
      <w:proofErr w:type="spellEnd"/>
      <w:r w:rsidRPr="00EA49BA">
        <w:rPr>
          <w:rFonts w:ascii="Times New Roman" w:hAnsi="Times New Roman" w:cs="Times New Roman"/>
          <w:lang w:val="en-US"/>
        </w:rPr>
        <w:t xml:space="preserve"> BN</w:t>
      </w:r>
      <w:r>
        <w:rPr>
          <w:rFonts w:ascii="Times New Roman" w:hAnsi="Times New Roman" w:cs="Times New Roman"/>
          <w:lang w:val="en-US"/>
        </w:rPr>
        <w:t xml:space="preserve"> (2017)</w:t>
      </w:r>
      <w:r w:rsidRPr="00EA49BA">
        <w:rPr>
          <w:rFonts w:ascii="Times New Roman" w:hAnsi="Times New Roman" w:cs="Times New Roman"/>
          <w:lang w:val="en-US"/>
        </w:rPr>
        <w:t>. Mechanisms of regulatory B cell function in autoimmune</w:t>
      </w:r>
    </w:p>
    <w:p w14:paraId="131CC3FF" w14:textId="3A7D21D0"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and inflammatory diseases beyond IL-10. J Clin Med. 6:12.</w:t>
      </w:r>
    </w:p>
    <w:p w14:paraId="6221A4A7" w14:textId="77777777" w:rsidR="00EA49BA" w:rsidRDefault="00EA49BA" w:rsidP="00FD25E2">
      <w:pPr>
        <w:spacing w:line="480" w:lineRule="auto"/>
        <w:jc w:val="both"/>
        <w:rPr>
          <w:rFonts w:ascii="Times New Roman" w:hAnsi="Times New Roman" w:cs="Times New Roman"/>
          <w:lang w:val="en-US"/>
        </w:rPr>
      </w:pPr>
    </w:p>
    <w:p w14:paraId="46C9BC58" w14:textId="14B8972B" w:rsidR="00EA49BA" w:rsidRPr="00EA49BA" w:rsidRDefault="00EA49BA" w:rsidP="00FD25E2">
      <w:pPr>
        <w:spacing w:line="480" w:lineRule="auto"/>
        <w:jc w:val="both"/>
        <w:rPr>
          <w:rFonts w:ascii="Times New Roman" w:hAnsi="Times New Roman" w:cs="Times New Roman"/>
          <w:lang w:val="en-US"/>
        </w:rPr>
      </w:pPr>
      <w:proofErr w:type="spellStart"/>
      <w:r w:rsidRPr="00EA49BA">
        <w:rPr>
          <w:rFonts w:ascii="Times New Roman" w:hAnsi="Times New Roman" w:cs="Times New Roman"/>
          <w:lang w:val="en-US"/>
        </w:rPr>
        <w:t>Bossowski</w:t>
      </w:r>
      <w:proofErr w:type="spellEnd"/>
      <w:r w:rsidRPr="00EA49BA">
        <w:rPr>
          <w:rFonts w:ascii="Times New Roman" w:hAnsi="Times New Roman" w:cs="Times New Roman"/>
          <w:lang w:val="en-US"/>
        </w:rPr>
        <w:t xml:space="preserve"> A, </w:t>
      </w:r>
      <w:r>
        <w:rPr>
          <w:rFonts w:ascii="Times New Roman" w:hAnsi="Times New Roman" w:cs="Times New Roman"/>
          <w:i/>
          <w:iCs/>
          <w:lang w:val="en-US"/>
        </w:rPr>
        <w:t xml:space="preserve">et al </w:t>
      </w:r>
      <w:r>
        <w:rPr>
          <w:rFonts w:ascii="Times New Roman" w:hAnsi="Times New Roman" w:cs="Times New Roman"/>
          <w:lang w:val="en-US"/>
        </w:rPr>
        <w:t>(2015)</w:t>
      </w:r>
      <w:r w:rsidRPr="00EA49BA">
        <w:rPr>
          <w:rFonts w:ascii="Times New Roman" w:hAnsi="Times New Roman" w:cs="Times New Roman"/>
          <w:lang w:val="en-US"/>
        </w:rPr>
        <w:t>. Analysis of B regulatory cells with phenotype</w:t>
      </w:r>
    </w:p>
    <w:p w14:paraId="444B5476"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CD19+CD24hiCD27+IL-10+ and CD19+IL-10+ in the peripheral blood of</w:t>
      </w:r>
    </w:p>
    <w:p w14:paraId="18F3FA34" w14:textId="77777777"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children with graves’ disease and Hashimoto’s thyroiditis. </w:t>
      </w:r>
      <w:proofErr w:type="spellStart"/>
      <w:r w:rsidRPr="00EA49BA">
        <w:rPr>
          <w:rFonts w:ascii="Times New Roman" w:hAnsi="Times New Roman" w:cs="Times New Roman"/>
          <w:lang w:val="en-US"/>
        </w:rPr>
        <w:t>Pediatr</w:t>
      </w:r>
      <w:proofErr w:type="spellEnd"/>
      <w:r w:rsidRPr="00EA49BA">
        <w:rPr>
          <w:rFonts w:ascii="Times New Roman" w:hAnsi="Times New Roman" w:cs="Times New Roman"/>
          <w:lang w:val="en-US"/>
        </w:rPr>
        <w:t xml:space="preserve"> </w:t>
      </w:r>
      <w:proofErr w:type="spellStart"/>
      <w:r w:rsidRPr="00EA49BA">
        <w:rPr>
          <w:rFonts w:ascii="Times New Roman" w:hAnsi="Times New Roman" w:cs="Times New Roman"/>
          <w:lang w:val="en-US"/>
        </w:rPr>
        <w:t>Endocrinol</w:t>
      </w:r>
      <w:proofErr w:type="spellEnd"/>
      <w:r w:rsidRPr="00EA49BA">
        <w:rPr>
          <w:rFonts w:ascii="Times New Roman" w:hAnsi="Times New Roman" w:cs="Times New Roman"/>
          <w:lang w:val="en-US"/>
        </w:rPr>
        <w:t>.</w:t>
      </w:r>
    </w:p>
    <w:p w14:paraId="62D24D5E" w14:textId="3FB67D80"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;14(Suppl 1):40. https://doi.org/10.18544/EP-02.14.01.1552.</w:t>
      </w:r>
    </w:p>
    <w:p w14:paraId="0D198095" w14:textId="77777777" w:rsidR="00EA49BA" w:rsidRDefault="00EA49BA" w:rsidP="00FD25E2">
      <w:pPr>
        <w:spacing w:line="480" w:lineRule="auto"/>
        <w:jc w:val="both"/>
        <w:rPr>
          <w:rFonts w:ascii="Times New Roman" w:hAnsi="Times New Roman" w:cs="Times New Roman"/>
          <w:lang w:val="en-US"/>
        </w:rPr>
      </w:pPr>
    </w:p>
    <w:p w14:paraId="394536DD" w14:textId="759A5275"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lastRenderedPageBreak/>
        <w:t>Li H,</w:t>
      </w:r>
      <w:r>
        <w:rPr>
          <w:rFonts w:ascii="Times New Roman" w:hAnsi="Times New Roman" w:cs="Times New Roman"/>
          <w:lang w:val="en-US"/>
        </w:rPr>
        <w:t xml:space="preserve"> </w:t>
      </w:r>
      <w:r>
        <w:rPr>
          <w:rFonts w:ascii="Times New Roman" w:hAnsi="Times New Roman" w:cs="Times New Roman"/>
          <w:i/>
          <w:iCs/>
          <w:lang w:val="en-US"/>
        </w:rPr>
        <w:t xml:space="preserve">et al </w:t>
      </w:r>
      <w:r>
        <w:rPr>
          <w:rFonts w:ascii="Times New Roman" w:hAnsi="Times New Roman" w:cs="Times New Roman"/>
          <w:lang w:val="en-US"/>
        </w:rPr>
        <w:t>(2010)</w:t>
      </w:r>
      <w:r w:rsidRPr="00EA49BA">
        <w:rPr>
          <w:rFonts w:ascii="Times New Roman" w:hAnsi="Times New Roman" w:cs="Times New Roman"/>
          <w:lang w:val="en-US"/>
        </w:rPr>
        <w:t>. Cross talk between the bone and immune systems: osteoclasts function as antigen-presenting cells and activate CD4+ and CD8+ T cells. Blood.;116:210–217. [PMC free article] [PubMed] [Google Scholar]</w:t>
      </w:r>
    </w:p>
    <w:p w14:paraId="2F569C92" w14:textId="77777777" w:rsidR="00EA49BA" w:rsidRPr="00EA49BA" w:rsidRDefault="00EA49BA" w:rsidP="00FD25E2">
      <w:pPr>
        <w:spacing w:line="480" w:lineRule="auto"/>
        <w:jc w:val="both"/>
        <w:rPr>
          <w:rFonts w:ascii="Times New Roman" w:hAnsi="Times New Roman" w:cs="Times New Roman"/>
          <w:lang w:val="en-US"/>
        </w:rPr>
      </w:pPr>
    </w:p>
    <w:p w14:paraId="28C1502D" w14:textId="0CE94FDB" w:rsidR="00EA49BA" w:rsidRPr="00EA49BA" w:rsidRDefault="00EA49BA" w:rsidP="00FD25E2">
      <w:pPr>
        <w:spacing w:line="480" w:lineRule="auto"/>
        <w:jc w:val="both"/>
        <w:rPr>
          <w:rFonts w:ascii="Times New Roman" w:hAnsi="Times New Roman" w:cs="Times New Roman"/>
          <w:lang w:val="en-US"/>
        </w:rPr>
      </w:pPr>
      <w:proofErr w:type="spellStart"/>
      <w:r w:rsidRPr="00EA49BA">
        <w:rPr>
          <w:rFonts w:ascii="Times New Roman" w:hAnsi="Times New Roman" w:cs="Times New Roman"/>
          <w:lang w:val="en-US"/>
        </w:rPr>
        <w:t>Wyzga</w:t>
      </w:r>
      <w:proofErr w:type="spellEnd"/>
      <w:r w:rsidRPr="00EA49BA">
        <w:rPr>
          <w:rFonts w:ascii="Times New Roman" w:hAnsi="Times New Roman" w:cs="Times New Roman"/>
          <w:lang w:val="en-US"/>
        </w:rPr>
        <w:t xml:space="preserve"> N,</w:t>
      </w:r>
      <w:r>
        <w:rPr>
          <w:rFonts w:ascii="Times New Roman" w:hAnsi="Times New Roman" w:cs="Times New Roman"/>
          <w:lang w:val="en-US"/>
        </w:rPr>
        <w:t xml:space="preserve"> </w:t>
      </w:r>
      <w:r>
        <w:rPr>
          <w:rFonts w:ascii="Times New Roman" w:hAnsi="Times New Roman" w:cs="Times New Roman"/>
          <w:i/>
          <w:iCs/>
          <w:lang w:val="en-US"/>
        </w:rPr>
        <w:t xml:space="preserve">et al </w:t>
      </w:r>
      <w:r>
        <w:rPr>
          <w:rFonts w:ascii="Times New Roman" w:hAnsi="Times New Roman" w:cs="Times New Roman"/>
          <w:lang w:val="en-US"/>
        </w:rPr>
        <w:t>(2014)</w:t>
      </w:r>
      <w:r w:rsidRPr="00EA49BA">
        <w:rPr>
          <w:rFonts w:ascii="Times New Roman" w:hAnsi="Times New Roman" w:cs="Times New Roman"/>
          <w:lang w:val="en-US"/>
        </w:rPr>
        <w:t xml:space="preserve">. Effects of activated T cells on </w:t>
      </w:r>
      <w:proofErr w:type="spellStart"/>
      <w:r w:rsidRPr="00EA49BA">
        <w:rPr>
          <w:rFonts w:ascii="Times New Roman" w:hAnsi="Times New Roman" w:cs="Times New Roman"/>
          <w:lang w:val="en-US"/>
        </w:rPr>
        <w:t>osteoclastogenesis</w:t>
      </w:r>
      <w:proofErr w:type="spellEnd"/>
      <w:r w:rsidRPr="00EA49BA">
        <w:rPr>
          <w:rFonts w:ascii="Times New Roman" w:hAnsi="Times New Roman" w:cs="Times New Roman"/>
          <w:lang w:val="en-US"/>
        </w:rPr>
        <w:t xml:space="preserve"> depend on how they are activated. Bone.;35:614–620. [PubMed] [Google Scholar]</w:t>
      </w:r>
    </w:p>
    <w:p w14:paraId="1B2D9E99" w14:textId="77777777" w:rsidR="00EA49BA" w:rsidRPr="00EA49BA" w:rsidRDefault="00EA49BA" w:rsidP="00FD25E2">
      <w:pPr>
        <w:spacing w:line="480" w:lineRule="auto"/>
        <w:jc w:val="both"/>
        <w:rPr>
          <w:rFonts w:ascii="Times New Roman" w:hAnsi="Times New Roman" w:cs="Times New Roman"/>
          <w:lang w:val="en-US"/>
        </w:rPr>
      </w:pPr>
    </w:p>
    <w:p w14:paraId="67928800" w14:textId="6DA92D04" w:rsidR="00EA49BA" w:rsidRPr="00EA49BA" w:rsidRDefault="00EA49BA" w:rsidP="00FD25E2">
      <w:pPr>
        <w:spacing w:line="480" w:lineRule="auto"/>
        <w:jc w:val="both"/>
        <w:rPr>
          <w:rFonts w:ascii="Times New Roman" w:hAnsi="Times New Roman" w:cs="Times New Roman"/>
          <w:lang w:val="en-US"/>
        </w:rPr>
      </w:pPr>
      <w:r w:rsidRPr="00EA49BA">
        <w:rPr>
          <w:rFonts w:ascii="Times New Roman" w:hAnsi="Times New Roman" w:cs="Times New Roman"/>
          <w:lang w:val="en-US"/>
        </w:rPr>
        <w:t xml:space="preserve">Kong YY, </w:t>
      </w:r>
      <w:r w:rsidRPr="00EA49BA">
        <w:rPr>
          <w:rFonts w:ascii="Times New Roman" w:hAnsi="Times New Roman" w:cs="Times New Roman"/>
          <w:i/>
          <w:iCs/>
          <w:lang w:val="en-US"/>
        </w:rPr>
        <w:t>et al.</w:t>
      </w:r>
      <w:r w:rsidRPr="00EA49BA">
        <w:rPr>
          <w:rFonts w:ascii="Times New Roman" w:hAnsi="Times New Roman" w:cs="Times New Roman"/>
          <w:lang w:val="en-US"/>
        </w:rPr>
        <w:t xml:space="preserve"> Activated T-cells regulate bone loss and joint destruction in adjuvant arthritis through </w:t>
      </w:r>
      <w:proofErr w:type="spellStart"/>
      <w:r w:rsidRPr="00EA49BA">
        <w:rPr>
          <w:rFonts w:ascii="Times New Roman" w:hAnsi="Times New Roman" w:cs="Times New Roman"/>
          <w:lang w:val="en-US"/>
        </w:rPr>
        <w:t>osteoprotegerin</w:t>
      </w:r>
      <w:proofErr w:type="spellEnd"/>
    </w:p>
    <w:sectPr w:rsidR="00EA49BA" w:rsidRPr="00EA49BA" w:rsidSect="007F71D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6695" w14:textId="77777777" w:rsidR="00FA4D37" w:rsidRDefault="00FA4D37" w:rsidP="00EA49BA">
      <w:r>
        <w:separator/>
      </w:r>
    </w:p>
  </w:endnote>
  <w:endnote w:type="continuationSeparator" w:id="0">
    <w:p w14:paraId="048EEE72" w14:textId="77777777" w:rsidR="00FA4D37" w:rsidRDefault="00FA4D37" w:rsidP="00EA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5B253" w14:textId="77777777" w:rsidR="00FA4D37" w:rsidRDefault="00FA4D37" w:rsidP="00EA49BA">
      <w:r>
        <w:separator/>
      </w:r>
    </w:p>
  </w:footnote>
  <w:footnote w:type="continuationSeparator" w:id="0">
    <w:p w14:paraId="34D36D49" w14:textId="77777777" w:rsidR="00FA4D37" w:rsidRDefault="00FA4D37" w:rsidP="00EA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BA"/>
    <w:rsid w:val="00030FC3"/>
    <w:rsid w:val="000E1007"/>
    <w:rsid w:val="00163F10"/>
    <w:rsid w:val="0020210E"/>
    <w:rsid w:val="00233F16"/>
    <w:rsid w:val="002548DF"/>
    <w:rsid w:val="00286671"/>
    <w:rsid w:val="003108DA"/>
    <w:rsid w:val="00381027"/>
    <w:rsid w:val="0038236A"/>
    <w:rsid w:val="005A41E1"/>
    <w:rsid w:val="0069536B"/>
    <w:rsid w:val="006E5138"/>
    <w:rsid w:val="007F71D1"/>
    <w:rsid w:val="008346AE"/>
    <w:rsid w:val="008738A5"/>
    <w:rsid w:val="008E49AE"/>
    <w:rsid w:val="00B94113"/>
    <w:rsid w:val="00BF195A"/>
    <w:rsid w:val="00C54CB0"/>
    <w:rsid w:val="00C615AB"/>
    <w:rsid w:val="00CC469C"/>
    <w:rsid w:val="00CF5F97"/>
    <w:rsid w:val="00DC0144"/>
    <w:rsid w:val="00E223C4"/>
    <w:rsid w:val="00E56929"/>
    <w:rsid w:val="00E756D6"/>
    <w:rsid w:val="00EA49BA"/>
    <w:rsid w:val="00EB247A"/>
    <w:rsid w:val="00FA22E4"/>
    <w:rsid w:val="00FA4D37"/>
    <w:rsid w:val="00FD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1556E"/>
  <w15:chartTrackingRefBased/>
  <w15:docId w15:val="{785002D0-CA55-7449-9660-21D0F988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BA"/>
    <w:pPr>
      <w:tabs>
        <w:tab w:val="center" w:pos="4513"/>
        <w:tab w:val="right" w:pos="9026"/>
      </w:tabs>
    </w:pPr>
  </w:style>
  <w:style w:type="character" w:customStyle="1" w:styleId="HeaderChar">
    <w:name w:val="Header Char"/>
    <w:basedOn w:val="DefaultParagraphFont"/>
    <w:link w:val="Header"/>
    <w:uiPriority w:val="99"/>
    <w:rsid w:val="00EA49BA"/>
  </w:style>
  <w:style w:type="paragraph" w:styleId="Footer">
    <w:name w:val="footer"/>
    <w:basedOn w:val="Normal"/>
    <w:link w:val="FooterChar"/>
    <w:uiPriority w:val="99"/>
    <w:unhideWhenUsed/>
    <w:rsid w:val="00EA49BA"/>
    <w:pPr>
      <w:tabs>
        <w:tab w:val="center" w:pos="4513"/>
        <w:tab w:val="right" w:pos="9026"/>
      </w:tabs>
    </w:pPr>
  </w:style>
  <w:style w:type="character" w:customStyle="1" w:styleId="FooterChar">
    <w:name w:val="Footer Char"/>
    <w:basedOn w:val="DefaultParagraphFont"/>
    <w:link w:val="Footer"/>
    <w:uiPriority w:val="99"/>
    <w:rsid w:val="00EA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2693</Words>
  <Characters>15354</Characters>
  <Application>Microsoft Office Word</Application>
  <DocSecurity>0</DocSecurity>
  <Lines>127</Lines>
  <Paragraphs>36</Paragraphs>
  <ScaleCrop>false</ScaleCrop>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dayo</dc:creator>
  <cp:keywords/>
  <dc:description/>
  <cp:lastModifiedBy>Donaldotoabasi Asuquo</cp:lastModifiedBy>
  <cp:revision>27</cp:revision>
  <dcterms:created xsi:type="dcterms:W3CDTF">2020-04-26T18:53:00Z</dcterms:created>
  <dcterms:modified xsi:type="dcterms:W3CDTF">2020-04-26T19:10:00Z</dcterms:modified>
</cp:coreProperties>
</file>