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5AF6C" w14:textId="43949F12" w:rsidR="00264D7B" w:rsidRPr="008D350C" w:rsidRDefault="00D25074">
      <w:pPr>
        <w:pStyle w:val="Heading2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bookmarkStart w:id="0" w:name="_GoBack"/>
      <w:bookmarkEnd w:id="0"/>
      <w:r w:rsidRPr="008D35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Name: Oladokun Victor</w:t>
      </w:r>
    </w:p>
    <w:p w14:paraId="65008E67" w14:textId="77777777" w:rsidR="0055147D" w:rsidRDefault="00CF4EBD">
      <w:pPr>
        <w:pStyle w:val="NormalWeb"/>
        <w:spacing w:before="0" w:beforeAutospacing="0" w:after="375" w:afterAutospacing="0" w:line="384" w:lineRule="atLeast"/>
        <w:divId w:val="1190797275"/>
        <w:rPr>
          <w:color w:val="555555"/>
        </w:rPr>
      </w:pPr>
      <w:r w:rsidRPr="0055147D">
        <w:rPr>
          <w:b/>
          <w:bCs/>
          <w:color w:val="555555"/>
        </w:rPr>
        <w:t>Matric no: 19/</w:t>
      </w:r>
      <w:r w:rsidR="0055147D" w:rsidRPr="0055147D">
        <w:rPr>
          <w:b/>
          <w:bCs/>
          <w:color w:val="555555"/>
        </w:rPr>
        <w:t>law01/203</w:t>
      </w:r>
    </w:p>
    <w:p w14:paraId="4677AD75" w14:textId="61640060" w:rsidR="00264D7B" w:rsidRPr="0055147D" w:rsidRDefault="0055147D">
      <w:pPr>
        <w:pStyle w:val="NormalWeb"/>
        <w:spacing w:before="0" w:beforeAutospacing="0" w:after="375" w:afterAutospacing="0" w:line="384" w:lineRule="atLeast"/>
        <w:divId w:val="1190797275"/>
        <w:rPr>
          <w:b/>
          <w:bCs/>
          <w:color w:val="555555"/>
        </w:rPr>
      </w:pPr>
      <w:r>
        <w:rPr>
          <w:color w:val="555555"/>
        </w:rPr>
        <w:t>Legal</w:t>
      </w:r>
      <w:r w:rsidR="00264D7B" w:rsidRPr="00177CE4">
        <w:rPr>
          <w:color w:val="555555"/>
        </w:rPr>
        <w:t xml:space="preserve"> researchers are encouraged to begin with secondary sources such as </w:t>
      </w:r>
      <w:r w:rsidR="00264D7B" w:rsidRPr="00177CE4">
        <w:rPr>
          <w:rStyle w:val="Strong"/>
          <w:color w:val="555555"/>
        </w:rPr>
        <w:t>law review articles</w:t>
      </w:r>
      <w:r w:rsidR="00264D7B" w:rsidRPr="00177CE4">
        <w:rPr>
          <w:color w:val="555555"/>
        </w:rPr>
        <w:t> or </w:t>
      </w:r>
      <w:r w:rsidR="00264D7B" w:rsidRPr="00177CE4">
        <w:rPr>
          <w:rStyle w:val="Strong"/>
          <w:color w:val="555555"/>
        </w:rPr>
        <w:t>treatises</w:t>
      </w:r>
      <w:r w:rsidR="00264D7B" w:rsidRPr="00177CE4">
        <w:rPr>
          <w:color w:val="555555"/>
        </w:rPr>
        <w:t>, which are likely to lead to specific primary law such as statutory references or case citations.  </w:t>
      </w:r>
    </w:p>
    <w:p w14:paraId="78463891" w14:textId="77777777" w:rsidR="00264D7B" w:rsidRPr="00177CE4" w:rsidRDefault="00264D7B">
      <w:pPr>
        <w:pStyle w:val="NormalWeb"/>
        <w:spacing w:before="0" w:beforeAutospacing="0" w:after="375" w:afterAutospacing="0" w:line="384" w:lineRule="atLeast"/>
        <w:divId w:val="1190797275"/>
        <w:rPr>
          <w:color w:val="555555"/>
        </w:rPr>
      </w:pPr>
      <w:r w:rsidRPr="00177CE4">
        <w:rPr>
          <w:color w:val="555555"/>
        </w:rPr>
        <w:t>Primary law citations can then lead the researcher to additional primary law, or even back to additional helpful secondary materials.</w:t>
      </w:r>
    </w:p>
    <w:p w14:paraId="3332774B" w14:textId="60399C15" w:rsidR="008444DB" w:rsidRPr="00B37A18" w:rsidRDefault="000448A3" w:rsidP="00435EA9">
      <w:pPr>
        <w:pStyle w:val="Heading2"/>
        <w:shd w:val="clear" w:color="auto" w:fill="FFFFFF"/>
        <w:spacing w:before="0" w:after="900"/>
        <w:ind w:right="-225"/>
        <w:textAlignment w:val="top"/>
        <w:divId w:val="522743288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177CE4">
        <w:rPr>
          <w:rStyle w:val="Strong"/>
          <w:rFonts w:ascii="Times New Roman" w:hAnsi="Times New Roman" w:cs="Times New Roman"/>
          <w:color w:val="555555"/>
          <w:sz w:val="24"/>
          <w:szCs w:val="24"/>
        </w:rPr>
        <w:t>Secondary sources are a great place to begin your research</w:t>
      </w:r>
      <w:r w:rsidRPr="00177CE4">
        <w:rPr>
          <w:rFonts w:ascii="Times New Roman" w:hAnsi="Times New Roman" w:cs="Times New Roman"/>
          <w:color w:val="555555"/>
          <w:sz w:val="24"/>
          <w:szCs w:val="24"/>
        </w:rPr>
        <w:t>. Although the primary sources of law--case law, statutes, and regulations--establish the law on a given topic, it is often difficult to quickly locate answers in them. Secondary sources often </w:t>
      </w:r>
      <w:r w:rsidRPr="00177CE4">
        <w:rPr>
          <w:rStyle w:val="Strong"/>
          <w:rFonts w:ascii="Times New Roman" w:hAnsi="Times New Roman" w:cs="Times New Roman"/>
          <w:color w:val="555555"/>
          <w:sz w:val="24"/>
          <w:szCs w:val="24"/>
        </w:rPr>
        <w:t>explain legal principles</w:t>
      </w:r>
      <w:r w:rsidRPr="00177CE4">
        <w:rPr>
          <w:rFonts w:ascii="Times New Roman" w:hAnsi="Times New Roman" w:cs="Times New Roman"/>
          <w:color w:val="555555"/>
          <w:sz w:val="24"/>
          <w:szCs w:val="24"/>
        </w:rPr>
        <w:t> more thoroughly than a single case or statute, so </w:t>
      </w:r>
      <w:r w:rsidRPr="00177CE4">
        <w:rPr>
          <w:rStyle w:val="Strong"/>
          <w:rFonts w:ascii="Times New Roman" w:hAnsi="Times New Roman" w:cs="Times New Roman"/>
          <w:color w:val="555555"/>
          <w:sz w:val="24"/>
          <w:szCs w:val="24"/>
        </w:rPr>
        <w:t>using them can help you save time</w:t>
      </w:r>
      <w:r w:rsidRPr="00177CE4">
        <w:rPr>
          <w:rFonts w:ascii="Times New Roman" w:hAnsi="Times New Roman" w:cs="Times New Roman"/>
          <w:color w:val="555555"/>
          <w:sz w:val="24"/>
          <w:szCs w:val="24"/>
        </w:rPr>
        <w:t>. Secondary </w:t>
      </w:r>
      <w:r w:rsidR="00251C97" w:rsidRPr="00177CE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sources also help you avoid unnecessary research, since you are tapping into work that someone else has already done on an issue</w:t>
      </w:r>
    </w:p>
    <w:p w14:paraId="20F59E84" w14:textId="77777777" w:rsidR="00426FA7" w:rsidRPr="00177CE4" w:rsidRDefault="00426FA7">
      <w:pPr>
        <w:pStyle w:val="NormalWeb"/>
        <w:shd w:val="clear" w:color="auto" w:fill="FFFFFF"/>
        <w:spacing w:before="0" w:beforeAutospacing="0" w:after="375" w:afterAutospacing="0"/>
        <w:divId w:val="41751029"/>
        <w:rPr>
          <w:color w:val="555555"/>
        </w:rPr>
      </w:pPr>
      <w:r w:rsidRPr="00177CE4">
        <w:rPr>
          <w:color w:val="555555"/>
          <w:u w:val="single"/>
        </w:rPr>
        <w:t>Secondary sources include:</w:t>
      </w:r>
    </w:p>
    <w:p w14:paraId="09CEE0E8" w14:textId="77777777" w:rsidR="00426FA7" w:rsidRPr="00177CE4" w:rsidRDefault="00426FA7" w:rsidP="00426FA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divId w:val="41751029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77CE4">
        <w:rPr>
          <w:rFonts w:ascii="Times New Roman" w:eastAsia="Times New Roman" w:hAnsi="Times New Roman" w:cs="Times New Roman"/>
          <w:color w:val="555555"/>
          <w:sz w:val="24"/>
          <w:szCs w:val="24"/>
        </w:rPr>
        <w:t>Legal encyclopedias</w:t>
      </w:r>
    </w:p>
    <w:p w14:paraId="6096EB89" w14:textId="77777777" w:rsidR="00426FA7" w:rsidRPr="00177CE4" w:rsidRDefault="00426FA7" w:rsidP="00426FA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divId w:val="41751029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77CE4">
        <w:rPr>
          <w:rFonts w:ascii="Times New Roman" w:eastAsia="Times New Roman" w:hAnsi="Times New Roman" w:cs="Times New Roman"/>
          <w:color w:val="555555"/>
          <w:sz w:val="24"/>
          <w:szCs w:val="24"/>
        </w:rPr>
        <w:t>American Law Reports (ALR)</w:t>
      </w:r>
    </w:p>
    <w:p w14:paraId="18D6DD02" w14:textId="77777777" w:rsidR="00426FA7" w:rsidRPr="00177CE4" w:rsidRDefault="00426FA7" w:rsidP="00426FA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divId w:val="41751029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77CE4">
        <w:rPr>
          <w:rFonts w:ascii="Times New Roman" w:eastAsia="Times New Roman" w:hAnsi="Times New Roman" w:cs="Times New Roman"/>
          <w:color w:val="555555"/>
          <w:sz w:val="24"/>
          <w:szCs w:val="24"/>
        </w:rPr>
        <w:t>Treatises</w:t>
      </w:r>
    </w:p>
    <w:p w14:paraId="05E96155" w14:textId="77777777" w:rsidR="00426FA7" w:rsidRPr="00177CE4" w:rsidRDefault="00426FA7" w:rsidP="00426FA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divId w:val="41751029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77CE4">
        <w:rPr>
          <w:rFonts w:ascii="Times New Roman" w:eastAsia="Times New Roman" w:hAnsi="Times New Roman" w:cs="Times New Roman"/>
          <w:color w:val="555555"/>
          <w:sz w:val="24"/>
          <w:szCs w:val="24"/>
        </w:rPr>
        <w:t>Law journals</w:t>
      </w:r>
    </w:p>
    <w:p w14:paraId="6547B7EB" w14:textId="77777777" w:rsidR="00426FA7" w:rsidRPr="00177CE4" w:rsidRDefault="00426FA7" w:rsidP="00426FA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divId w:val="41751029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77CE4">
        <w:rPr>
          <w:rFonts w:ascii="Times New Roman" w:eastAsia="Times New Roman" w:hAnsi="Times New Roman" w:cs="Times New Roman"/>
          <w:color w:val="555555"/>
          <w:sz w:val="24"/>
          <w:szCs w:val="24"/>
        </w:rPr>
        <w:t>Restatements</w:t>
      </w:r>
    </w:p>
    <w:p w14:paraId="0B679B80" w14:textId="77777777" w:rsidR="00426FA7" w:rsidRPr="00177CE4" w:rsidRDefault="00426FA7">
      <w:pPr>
        <w:pStyle w:val="NormalWeb"/>
        <w:shd w:val="clear" w:color="auto" w:fill="FFFFFF"/>
        <w:spacing w:before="0" w:beforeAutospacing="0" w:after="375" w:afterAutospacing="0"/>
        <w:divId w:val="41751029"/>
        <w:rPr>
          <w:color w:val="555555"/>
        </w:rPr>
      </w:pPr>
      <w:r w:rsidRPr="00177CE4">
        <w:rPr>
          <w:color w:val="555555"/>
          <w:u w:val="single"/>
        </w:rPr>
        <w:t>Secondary sources are particularly useful for:</w:t>
      </w:r>
    </w:p>
    <w:p w14:paraId="20C52AE9" w14:textId="77777777" w:rsidR="00426FA7" w:rsidRPr="00177CE4" w:rsidRDefault="00426FA7" w:rsidP="00426FA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divId w:val="41751029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77CE4">
        <w:rPr>
          <w:rFonts w:ascii="Times New Roman" w:eastAsia="Times New Roman" w:hAnsi="Times New Roman" w:cs="Times New Roman"/>
          <w:color w:val="555555"/>
          <w:sz w:val="24"/>
          <w:szCs w:val="24"/>
        </w:rPr>
        <w:t>Learning the basics of a particular area of law</w:t>
      </w:r>
    </w:p>
    <w:p w14:paraId="470BE2F8" w14:textId="77777777" w:rsidR="00426FA7" w:rsidRPr="00177CE4" w:rsidRDefault="00426FA7" w:rsidP="00426FA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divId w:val="41751029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77CE4">
        <w:rPr>
          <w:rFonts w:ascii="Times New Roman" w:eastAsia="Times New Roman" w:hAnsi="Times New Roman" w:cs="Times New Roman"/>
          <w:color w:val="555555"/>
          <w:sz w:val="24"/>
          <w:szCs w:val="24"/>
        </w:rPr>
        <w:t>Understanding key terms of art in an area</w:t>
      </w:r>
    </w:p>
    <w:p w14:paraId="5E4C18C5" w14:textId="77777777" w:rsidR="00615F71" w:rsidRPr="00177CE4" w:rsidRDefault="00615F71" w:rsidP="00615F7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divId w:val="4865515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77CE4">
        <w:rPr>
          <w:rFonts w:ascii="Times New Roman" w:eastAsia="Times New Roman" w:hAnsi="Times New Roman" w:cs="Times New Roman"/>
          <w:color w:val="555555"/>
          <w:sz w:val="24"/>
          <w:szCs w:val="24"/>
        </w:rPr>
        <w:t>Identifying essential cases and statutes</w:t>
      </w:r>
    </w:p>
    <w:p w14:paraId="006D3839" w14:textId="6D8991A8" w:rsidR="007D798D" w:rsidRPr="00177CE4" w:rsidRDefault="00752144" w:rsidP="00251C97">
      <w:pPr>
        <w:pStyle w:val="NormalWeb"/>
        <w:shd w:val="clear" w:color="auto" w:fill="FFFFFF"/>
        <w:spacing w:before="0" w:beforeAutospacing="0" w:after="375" w:afterAutospacing="0" w:line="384" w:lineRule="atLeast"/>
        <w:textAlignment w:val="top"/>
        <w:rPr>
          <w:rFonts w:eastAsia="Times New Roman"/>
          <w:color w:val="111111"/>
          <w:shd w:val="clear" w:color="auto" w:fill="FFFFFF"/>
        </w:rPr>
      </w:pPr>
      <w:r w:rsidRPr="00177CE4">
        <w:rPr>
          <w:rFonts w:eastAsia="Times New Roman"/>
          <w:color w:val="111111"/>
          <w:shd w:val="clear" w:color="auto" w:fill="FFFFFF"/>
        </w:rPr>
        <w:t>Secondary sources of law are only made use of whenever there are no primary sources of law to fall back on.</w:t>
      </w:r>
    </w:p>
    <w:p w14:paraId="05F6F2D3" w14:textId="77777777" w:rsidR="005463B6" w:rsidRPr="00177CE4" w:rsidRDefault="005463B6" w:rsidP="005463B6">
      <w:pPr>
        <w:pStyle w:val="NormalWeb"/>
        <w:shd w:val="clear" w:color="auto" w:fill="FFFFFF"/>
        <w:spacing w:after="375" w:line="384" w:lineRule="atLeast"/>
        <w:textAlignment w:val="top"/>
        <w:rPr>
          <w:rFonts w:eastAsia="Times New Roman"/>
          <w:color w:val="111111"/>
          <w:shd w:val="clear" w:color="auto" w:fill="FFFFFF"/>
        </w:rPr>
      </w:pPr>
      <w:r w:rsidRPr="00177CE4">
        <w:rPr>
          <w:rFonts w:eastAsia="Times New Roman"/>
          <w:color w:val="111111"/>
          <w:shd w:val="clear" w:color="auto" w:fill="FFFFFF"/>
        </w:rPr>
        <w:t>Secondary sources of law are the sources of law that do not carry a dominant legal weight and binding</w:t>
      </w:r>
    </w:p>
    <w:p w14:paraId="6DCE41AC" w14:textId="77777777" w:rsidR="005463B6" w:rsidRPr="00177CE4" w:rsidRDefault="005463B6" w:rsidP="005463B6">
      <w:pPr>
        <w:pStyle w:val="NormalWeb"/>
        <w:shd w:val="clear" w:color="auto" w:fill="FFFFFF"/>
        <w:spacing w:after="375" w:line="384" w:lineRule="atLeast"/>
        <w:textAlignment w:val="top"/>
        <w:rPr>
          <w:rFonts w:eastAsia="Times New Roman"/>
          <w:color w:val="111111"/>
          <w:shd w:val="clear" w:color="auto" w:fill="FFFFFF"/>
        </w:rPr>
      </w:pPr>
      <w:r w:rsidRPr="00177CE4">
        <w:rPr>
          <w:rFonts w:eastAsia="Times New Roman"/>
          <w:color w:val="111111"/>
          <w:shd w:val="clear" w:color="auto" w:fill="FFFFFF"/>
        </w:rPr>
        <w:lastRenderedPageBreak/>
        <w:t>effect. The legal authorities contain in these kind of sources are diluted and persuasive which are not</w:t>
      </w:r>
    </w:p>
    <w:p w14:paraId="1CBA4618" w14:textId="77777777" w:rsidR="005463B6" w:rsidRPr="00177CE4" w:rsidRDefault="005463B6" w:rsidP="005463B6">
      <w:pPr>
        <w:pStyle w:val="NormalWeb"/>
        <w:shd w:val="clear" w:color="auto" w:fill="FFFFFF"/>
        <w:spacing w:after="375" w:line="384" w:lineRule="atLeast"/>
        <w:textAlignment w:val="top"/>
        <w:rPr>
          <w:rFonts w:eastAsia="Times New Roman"/>
          <w:color w:val="111111"/>
          <w:shd w:val="clear" w:color="auto" w:fill="FFFFFF"/>
        </w:rPr>
      </w:pPr>
      <w:r w:rsidRPr="00177CE4">
        <w:rPr>
          <w:rFonts w:eastAsia="Times New Roman"/>
          <w:color w:val="111111"/>
          <w:shd w:val="clear" w:color="auto" w:fill="FFFFFF"/>
        </w:rPr>
        <w:t xml:space="preserve">binding on any court of law. According to </w:t>
      </w:r>
      <w:proofErr w:type="spellStart"/>
      <w:r w:rsidRPr="00177CE4">
        <w:rPr>
          <w:rFonts w:eastAsia="Times New Roman"/>
          <w:color w:val="111111"/>
          <w:shd w:val="clear" w:color="auto" w:fill="FFFFFF"/>
        </w:rPr>
        <w:t>Beredugo</w:t>
      </w:r>
      <w:proofErr w:type="spellEnd"/>
      <w:r w:rsidRPr="00177CE4">
        <w:rPr>
          <w:rFonts w:eastAsia="Times New Roman"/>
          <w:color w:val="111111"/>
          <w:shd w:val="clear" w:color="auto" w:fill="FFFFFF"/>
        </w:rPr>
        <w:t xml:space="preserve"> (2009), secondary sources of law are less</w:t>
      </w:r>
    </w:p>
    <w:p w14:paraId="311FBBB2" w14:textId="77777777" w:rsidR="005463B6" w:rsidRPr="00177CE4" w:rsidRDefault="005463B6" w:rsidP="005463B6">
      <w:pPr>
        <w:pStyle w:val="NormalWeb"/>
        <w:shd w:val="clear" w:color="auto" w:fill="FFFFFF"/>
        <w:spacing w:after="375" w:line="384" w:lineRule="atLeast"/>
        <w:textAlignment w:val="top"/>
        <w:rPr>
          <w:rFonts w:eastAsia="Times New Roman"/>
          <w:color w:val="111111"/>
          <w:shd w:val="clear" w:color="auto" w:fill="FFFFFF"/>
        </w:rPr>
      </w:pPr>
      <w:r w:rsidRPr="00177CE4">
        <w:rPr>
          <w:rFonts w:eastAsia="Times New Roman"/>
          <w:color w:val="111111"/>
          <w:shd w:val="clear" w:color="auto" w:fill="FFFFFF"/>
        </w:rPr>
        <w:t>significance sources of law that carry barely persuasive legal authority or effect and are therefore ,</w:t>
      </w:r>
    </w:p>
    <w:p w14:paraId="29705F40" w14:textId="77777777" w:rsidR="005463B6" w:rsidRPr="00177CE4" w:rsidRDefault="005463B6" w:rsidP="005463B6">
      <w:pPr>
        <w:pStyle w:val="NormalWeb"/>
        <w:shd w:val="clear" w:color="auto" w:fill="FFFFFF"/>
        <w:spacing w:after="375" w:line="384" w:lineRule="atLeast"/>
        <w:textAlignment w:val="top"/>
        <w:rPr>
          <w:rFonts w:eastAsia="Times New Roman"/>
          <w:color w:val="111111"/>
          <w:shd w:val="clear" w:color="auto" w:fill="FFFFFF"/>
        </w:rPr>
      </w:pPr>
      <w:r w:rsidRPr="00177CE4">
        <w:rPr>
          <w:rFonts w:eastAsia="Times New Roman"/>
          <w:color w:val="111111"/>
          <w:shd w:val="clear" w:color="auto" w:fill="FFFFFF"/>
        </w:rPr>
        <w:t>not binding on any court of law. Secondary sources can be useful in court of law or resorted to where</w:t>
      </w:r>
    </w:p>
    <w:p w14:paraId="5702EDF2" w14:textId="77777777" w:rsidR="005463B6" w:rsidRPr="00177CE4" w:rsidRDefault="005463B6" w:rsidP="005463B6">
      <w:pPr>
        <w:pStyle w:val="NormalWeb"/>
        <w:shd w:val="clear" w:color="auto" w:fill="FFFFFF"/>
        <w:spacing w:after="375" w:line="384" w:lineRule="atLeast"/>
        <w:textAlignment w:val="top"/>
        <w:rPr>
          <w:rFonts w:eastAsia="Times New Roman"/>
          <w:color w:val="111111"/>
          <w:shd w:val="clear" w:color="auto" w:fill="FFFFFF"/>
        </w:rPr>
      </w:pPr>
      <w:r w:rsidRPr="00177CE4">
        <w:rPr>
          <w:rFonts w:eastAsia="Times New Roman"/>
          <w:color w:val="111111"/>
          <w:shd w:val="clear" w:color="auto" w:fill="FFFFFF"/>
        </w:rPr>
        <w:t>the court finds the opinion or fact underlying the authority contained therein. Secondary sources can</w:t>
      </w:r>
    </w:p>
    <w:p w14:paraId="266F32A2" w14:textId="77777777" w:rsidR="005463B6" w:rsidRPr="00177CE4" w:rsidRDefault="005463B6" w:rsidP="005463B6">
      <w:pPr>
        <w:pStyle w:val="NormalWeb"/>
        <w:shd w:val="clear" w:color="auto" w:fill="FFFFFF"/>
        <w:spacing w:after="375" w:line="384" w:lineRule="atLeast"/>
        <w:textAlignment w:val="top"/>
        <w:rPr>
          <w:rFonts w:eastAsia="Times New Roman"/>
          <w:color w:val="111111"/>
          <w:shd w:val="clear" w:color="auto" w:fill="FFFFFF"/>
        </w:rPr>
      </w:pPr>
      <w:r w:rsidRPr="00177CE4">
        <w:rPr>
          <w:rFonts w:eastAsia="Times New Roman"/>
          <w:color w:val="111111"/>
          <w:shd w:val="clear" w:color="auto" w:fill="FFFFFF"/>
        </w:rPr>
        <w:t>also be referred to in court if it supports the authorities of the primary sources. Examples of secondary</w:t>
      </w:r>
    </w:p>
    <w:p w14:paraId="12F642E7" w14:textId="77777777" w:rsidR="005463B6" w:rsidRPr="00177CE4" w:rsidRDefault="005463B6" w:rsidP="005463B6">
      <w:pPr>
        <w:pStyle w:val="NormalWeb"/>
        <w:shd w:val="clear" w:color="auto" w:fill="FFFFFF"/>
        <w:spacing w:after="375" w:line="384" w:lineRule="atLeast"/>
        <w:textAlignment w:val="top"/>
        <w:rPr>
          <w:rFonts w:eastAsia="Times New Roman"/>
          <w:color w:val="111111"/>
          <w:shd w:val="clear" w:color="auto" w:fill="FFFFFF"/>
        </w:rPr>
      </w:pPr>
      <w:r w:rsidRPr="00177CE4">
        <w:rPr>
          <w:rFonts w:eastAsia="Times New Roman"/>
          <w:color w:val="111111"/>
          <w:shd w:val="clear" w:color="auto" w:fill="FFFFFF"/>
        </w:rPr>
        <w:t xml:space="preserve">sources of Nigerian law according to </w:t>
      </w:r>
      <w:proofErr w:type="spellStart"/>
      <w:r w:rsidRPr="00177CE4">
        <w:rPr>
          <w:rFonts w:eastAsia="Times New Roman"/>
          <w:color w:val="111111"/>
          <w:shd w:val="clear" w:color="auto" w:fill="FFFFFF"/>
        </w:rPr>
        <w:t>Beredugo</w:t>
      </w:r>
      <w:proofErr w:type="spellEnd"/>
      <w:r w:rsidRPr="00177CE4">
        <w:rPr>
          <w:rFonts w:eastAsia="Times New Roman"/>
          <w:color w:val="111111"/>
          <w:shd w:val="clear" w:color="auto" w:fill="FFFFFF"/>
        </w:rPr>
        <w:t xml:space="preserve"> includes:</w:t>
      </w:r>
    </w:p>
    <w:p w14:paraId="0C71476D" w14:textId="77777777" w:rsidR="005463B6" w:rsidRPr="00177CE4" w:rsidRDefault="005463B6" w:rsidP="005463B6">
      <w:pPr>
        <w:pStyle w:val="NormalWeb"/>
        <w:shd w:val="clear" w:color="auto" w:fill="FFFFFF"/>
        <w:spacing w:after="375" w:line="384" w:lineRule="atLeast"/>
        <w:textAlignment w:val="top"/>
        <w:rPr>
          <w:rFonts w:eastAsia="Times New Roman"/>
          <w:color w:val="111111"/>
          <w:shd w:val="clear" w:color="auto" w:fill="FFFFFF"/>
        </w:rPr>
      </w:pPr>
      <w:r w:rsidRPr="00177CE4">
        <w:rPr>
          <w:rFonts w:eastAsia="Times New Roman"/>
          <w:color w:val="111111"/>
          <w:shd w:val="clear" w:color="auto" w:fill="FFFFFF"/>
        </w:rPr>
        <w:t>(a) decisions of courts of foreign countries</w:t>
      </w:r>
    </w:p>
    <w:p w14:paraId="70CDDA37" w14:textId="77777777" w:rsidR="005463B6" w:rsidRPr="00177CE4" w:rsidRDefault="005463B6" w:rsidP="005463B6">
      <w:pPr>
        <w:pStyle w:val="NormalWeb"/>
        <w:shd w:val="clear" w:color="auto" w:fill="FFFFFF"/>
        <w:spacing w:after="375" w:line="384" w:lineRule="atLeast"/>
        <w:textAlignment w:val="top"/>
        <w:rPr>
          <w:rFonts w:eastAsia="Times New Roman"/>
          <w:color w:val="111111"/>
          <w:shd w:val="clear" w:color="auto" w:fill="FFFFFF"/>
        </w:rPr>
      </w:pPr>
      <w:r w:rsidRPr="00177CE4">
        <w:rPr>
          <w:rFonts w:eastAsia="Times New Roman"/>
          <w:color w:val="111111"/>
          <w:shd w:val="clear" w:color="auto" w:fill="FFFFFF"/>
        </w:rPr>
        <w:t>(b) International conventions, treaties, and resolutions of international bodies;</w:t>
      </w:r>
    </w:p>
    <w:p w14:paraId="243963F9" w14:textId="77777777" w:rsidR="005463B6" w:rsidRPr="00177CE4" w:rsidRDefault="005463B6" w:rsidP="005463B6">
      <w:pPr>
        <w:pStyle w:val="NormalWeb"/>
        <w:shd w:val="clear" w:color="auto" w:fill="FFFFFF"/>
        <w:spacing w:after="375" w:line="384" w:lineRule="atLeast"/>
        <w:textAlignment w:val="top"/>
        <w:rPr>
          <w:rFonts w:eastAsia="Times New Roman"/>
          <w:color w:val="111111"/>
          <w:shd w:val="clear" w:color="auto" w:fill="FFFFFF"/>
        </w:rPr>
      </w:pPr>
      <w:r w:rsidRPr="00177CE4">
        <w:rPr>
          <w:rFonts w:eastAsia="Times New Roman"/>
          <w:color w:val="111111"/>
          <w:shd w:val="clear" w:color="auto" w:fill="FFFFFF"/>
        </w:rPr>
        <w:t>(c) Statements or opinions of jurists and learned authors contained in law textbooks, journal,</w:t>
      </w:r>
    </w:p>
    <w:p w14:paraId="48BD01D3" w14:textId="77777777" w:rsidR="005463B6" w:rsidRPr="00177CE4" w:rsidRDefault="005463B6" w:rsidP="005463B6">
      <w:pPr>
        <w:pStyle w:val="NormalWeb"/>
        <w:shd w:val="clear" w:color="auto" w:fill="FFFFFF"/>
        <w:spacing w:after="375" w:line="384" w:lineRule="atLeast"/>
        <w:textAlignment w:val="top"/>
        <w:rPr>
          <w:rFonts w:eastAsia="Times New Roman"/>
          <w:color w:val="111111"/>
          <w:shd w:val="clear" w:color="auto" w:fill="FFFFFF"/>
        </w:rPr>
      </w:pPr>
      <w:r w:rsidRPr="00177CE4">
        <w:rPr>
          <w:rFonts w:eastAsia="Times New Roman"/>
          <w:color w:val="111111"/>
          <w:shd w:val="clear" w:color="auto" w:fill="FFFFFF"/>
        </w:rPr>
        <w:t>periodicals, dictionaries, letters, speeches, and interviews;</w:t>
      </w:r>
    </w:p>
    <w:p w14:paraId="15FBE89A" w14:textId="77777777" w:rsidR="005463B6" w:rsidRPr="00177CE4" w:rsidRDefault="005463B6" w:rsidP="005463B6">
      <w:pPr>
        <w:pStyle w:val="NormalWeb"/>
        <w:shd w:val="clear" w:color="auto" w:fill="FFFFFF"/>
        <w:spacing w:after="375" w:line="384" w:lineRule="atLeast"/>
        <w:textAlignment w:val="top"/>
        <w:rPr>
          <w:rFonts w:eastAsia="Times New Roman"/>
          <w:color w:val="111111"/>
          <w:shd w:val="clear" w:color="auto" w:fill="FFFFFF"/>
        </w:rPr>
      </w:pPr>
      <w:r w:rsidRPr="00177CE4">
        <w:rPr>
          <w:rFonts w:eastAsia="Times New Roman"/>
          <w:color w:val="111111"/>
          <w:shd w:val="clear" w:color="auto" w:fill="FFFFFF"/>
        </w:rPr>
        <w:t>(d) legal opinions contained in nullified judgements.</w:t>
      </w:r>
    </w:p>
    <w:p w14:paraId="7C171377" w14:textId="77777777" w:rsidR="005463B6" w:rsidRPr="00177CE4" w:rsidRDefault="005463B6" w:rsidP="005463B6">
      <w:pPr>
        <w:pStyle w:val="NormalWeb"/>
        <w:shd w:val="clear" w:color="auto" w:fill="FFFFFF"/>
        <w:spacing w:after="375" w:line="384" w:lineRule="atLeast"/>
        <w:textAlignment w:val="top"/>
        <w:rPr>
          <w:rFonts w:eastAsia="Times New Roman"/>
          <w:color w:val="111111"/>
          <w:shd w:val="clear" w:color="auto" w:fill="FFFFFF"/>
        </w:rPr>
      </w:pPr>
      <w:r w:rsidRPr="00177CE4">
        <w:rPr>
          <w:rFonts w:eastAsia="Times New Roman"/>
          <w:color w:val="111111"/>
          <w:shd w:val="clear" w:color="auto" w:fill="FFFFFF"/>
        </w:rPr>
        <w:t>Secondary sources of law also include all sources that provide helpful introductions to legal subjects,</w:t>
      </w:r>
    </w:p>
    <w:p w14:paraId="1C52ACED" w14:textId="77777777" w:rsidR="005463B6" w:rsidRPr="00177CE4" w:rsidRDefault="005463B6" w:rsidP="005463B6">
      <w:pPr>
        <w:pStyle w:val="NormalWeb"/>
        <w:shd w:val="clear" w:color="auto" w:fill="FFFFFF"/>
        <w:spacing w:after="375" w:line="384" w:lineRule="atLeast"/>
        <w:textAlignment w:val="top"/>
        <w:rPr>
          <w:rFonts w:eastAsia="Times New Roman"/>
          <w:color w:val="111111"/>
          <w:shd w:val="clear" w:color="auto" w:fill="FFFFFF"/>
        </w:rPr>
      </w:pPr>
      <w:r w:rsidRPr="00177CE4">
        <w:rPr>
          <w:rFonts w:eastAsia="Times New Roman"/>
          <w:color w:val="111111"/>
          <w:shd w:val="clear" w:color="auto" w:fill="FFFFFF"/>
        </w:rPr>
        <w:t>synopses of decisions, statutes, and regulations in a given field, analyses of trends and historical</w:t>
      </w:r>
    </w:p>
    <w:p w14:paraId="2AC0BAC5" w14:textId="77777777" w:rsidR="005463B6" w:rsidRPr="00177CE4" w:rsidRDefault="005463B6" w:rsidP="005463B6">
      <w:pPr>
        <w:pStyle w:val="NormalWeb"/>
        <w:shd w:val="clear" w:color="auto" w:fill="FFFFFF"/>
        <w:spacing w:after="375" w:line="384" w:lineRule="atLeast"/>
        <w:textAlignment w:val="top"/>
        <w:rPr>
          <w:rFonts w:eastAsia="Times New Roman"/>
          <w:color w:val="111111"/>
          <w:shd w:val="clear" w:color="auto" w:fill="FFFFFF"/>
        </w:rPr>
      </w:pPr>
      <w:r w:rsidRPr="00177CE4">
        <w:rPr>
          <w:rFonts w:eastAsia="Times New Roman"/>
          <w:color w:val="111111"/>
          <w:shd w:val="clear" w:color="auto" w:fill="FFFFFF"/>
        </w:rPr>
        <w:t>background of law, explanation of new or difficult concepts, descriptions and analysis of the law and</w:t>
      </w:r>
    </w:p>
    <w:p w14:paraId="51A5BBF6" w14:textId="3EC9D3A9" w:rsidR="005463B6" w:rsidRPr="00177CE4" w:rsidRDefault="005463B6" w:rsidP="00251C97">
      <w:pPr>
        <w:pStyle w:val="NormalWeb"/>
        <w:shd w:val="clear" w:color="auto" w:fill="FFFFFF"/>
        <w:spacing w:before="0" w:beforeAutospacing="0" w:after="375" w:afterAutospacing="0" w:line="384" w:lineRule="atLeast"/>
        <w:textAlignment w:val="top"/>
        <w:rPr>
          <w:rFonts w:eastAsia="Times New Roman"/>
          <w:color w:val="111111"/>
          <w:shd w:val="clear" w:color="auto" w:fill="FFFFFF"/>
        </w:rPr>
      </w:pPr>
      <w:r w:rsidRPr="00177CE4">
        <w:rPr>
          <w:rFonts w:eastAsia="Times New Roman"/>
          <w:color w:val="111111"/>
          <w:shd w:val="clear" w:color="auto" w:fill="FFFFFF"/>
        </w:rPr>
        <w:lastRenderedPageBreak/>
        <w:t>its developments and citations to primary sources through footnotes and annotations.</w:t>
      </w:r>
      <w:r w:rsidRPr="00177CE4">
        <w:rPr>
          <w:rFonts w:eastAsia="Times New Roman"/>
          <w:color w:val="111111"/>
          <w:shd w:val="clear" w:color="auto" w:fill="FFFFFF"/>
        </w:rPr>
        <w:cr/>
      </w:r>
    </w:p>
    <w:sectPr w:rsidR="005463B6" w:rsidRPr="00177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02B4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8058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815F7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DB"/>
    <w:rsid w:val="000448A3"/>
    <w:rsid w:val="000F230F"/>
    <w:rsid w:val="00177CE4"/>
    <w:rsid w:val="002258CB"/>
    <w:rsid w:val="00251C97"/>
    <w:rsid w:val="00264D7B"/>
    <w:rsid w:val="00426FA7"/>
    <w:rsid w:val="00435EA9"/>
    <w:rsid w:val="005463B6"/>
    <w:rsid w:val="0055147D"/>
    <w:rsid w:val="00591D48"/>
    <w:rsid w:val="00615F71"/>
    <w:rsid w:val="00752144"/>
    <w:rsid w:val="007D798D"/>
    <w:rsid w:val="008444DB"/>
    <w:rsid w:val="00875EB7"/>
    <w:rsid w:val="008D350C"/>
    <w:rsid w:val="00B130DF"/>
    <w:rsid w:val="00B37A18"/>
    <w:rsid w:val="00C72060"/>
    <w:rsid w:val="00CF4EBD"/>
    <w:rsid w:val="00D25074"/>
    <w:rsid w:val="00D71F16"/>
    <w:rsid w:val="00DE2C16"/>
    <w:rsid w:val="00E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C65A0"/>
  <w15:chartTrackingRefBased/>
  <w15:docId w15:val="{CC75D74A-D0B5-014A-AD34-5CC4811F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D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48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64D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64D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4D7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8A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90">
          <w:marLeft w:val="-225"/>
          <w:marRight w:val="-225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432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2348174956942</dc:creator>
  <cp:keywords/>
  <dc:description/>
  <cp:lastModifiedBy>2348174956942</cp:lastModifiedBy>
  <cp:revision>2</cp:revision>
  <dcterms:created xsi:type="dcterms:W3CDTF">2020-04-26T19:41:00Z</dcterms:created>
  <dcterms:modified xsi:type="dcterms:W3CDTF">2020-04-26T19:41:00Z</dcterms:modified>
</cp:coreProperties>
</file>