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571" w:rsidRPr="00B54DA1" w:rsidRDefault="00AE092F">
      <w:pPr>
        <w:rPr>
          <w:rFonts w:ascii="Calisto MT" w:hAnsi="Calisto MT"/>
          <w:sz w:val="36"/>
          <w:szCs w:val="36"/>
        </w:rPr>
      </w:pPr>
      <w:r w:rsidRPr="00B54DA1">
        <w:rPr>
          <w:rFonts w:ascii="Calisto MT" w:hAnsi="Calisto MT"/>
          <w:sz w:val="36"/>
          <w:szCs w:val="36"/>
        </w:rPr>
        <w:t>Discuss the involvement of T-and B-LYMPOCYTES IN THE PROGRESSION AND Pathogenesis of osteomyelitis and osteoarthritis</w:t>
      </w:r>
    </w:p>
    <w:p w:rsidR="00AE092F" w:rsidRPr="00B54DA1" w:rsidRDefault="00AE092F">
      <w:pPr>
        <w:rPr>
          <w:rFonts w:ascii="Calisto MT" w:hAnsi="Calisto MT"/>
          <w:sz w:val="24"/>
          <w:szCs w:val="24"/>
        </w:rPr>
      </w:pPr>
    </w:p>
    <w:p w:rsidR="00AE092F" w:rsidRPr="00B54DA1" w:rsidRDefault="00AE092F">
      <w:pPr>
        <w:rPr>
          <w:rFonts w:ascii="Calisto MT" w:hAnsi="Calisto MT"/>
          <w:sz w:val="24"/>
          <w:szCs w:val="24"/>
        </w:rPr>
      </w:pPr>
    </w:p>
    <w:p w:rsidR="00B54DA1" w:rsidRPr="00CF5F97" w:rsidRDefault="00B54DA1" w:rsidP="00B54DA1">
      <w:pPr>
        <w:spacing w:before="40" w:after="40"/>
        <w:ind w:left="1134" w:right="1134"/>
        <w:jc w:val="center"/>
        <w:rPr>
          <w:rFonts w:ascii="Times New Roman" w:hAnsi="Times New Roman" w:cs="Times New Roman"/>
          <w:b/>
          <w:bCs/>
          <w:sz w:val="56"/>
          <w:szCs w:val="56"/>
        </w:rPr>
      </w:pPr>
      <w:r w:rsidRPr="00CF5F97">
        <w:rPr>
          <w:rFonts w:ascii="Times New Roman" w:hAnsi="Times New Roman" w:cs="Times New Roman"/>
          <w:b/>
          <w:bCs/>
          <w:sz w:val="56"/>
          <w:szCs w:val="56"/>
        </w:rPr>
        <w:t xml:space="preserve">NAME: </w:t>
      </w:r>
      <w:r w:rsidR="00001CC4">
        <w:rPr>
          <w:rFonts w:ascii="Times New Roman" w:hAnsi="Times New Roman" w:cs="Times New Roman"/>
          <w:b/>
          <w:bCs/>
          <w:sz w:val="56"/>
          <w:szCs w:val="56"/>
        </w:rPr>
        <w:t>ADEKANYE AYOTUNDE UTHMAN</w:t>
      </w:r>
    </w:p>
    <w:p w:rsidR="00B54DA1" w:rsidRPr="00CF5F97" w:rsidRDefault="00B54DA1" w:rsidP="00B54DA1">
      <w:pPr>
        <w:spacing w:before="40" w:after="40"/>
        <w:ind w:left="1134" w:right="1134"/>
        <w:jc w:val="center"/>
        <w:rPr>
          <w:rFonts w:ascii="Times New Roman" w:hAnsi="Times New Roman" w:cs="Times New Roman"/>
          <w:b/>
          <w:bCs/>
          <w:sz w:val="56"/>
          <w:szCs w:val="56"/>
        </w:rPr>
      </w:pPr>
      <w:r w:rsidRPr="00CF5F97">
        <w:rPr>
          <w:rFonts w:ascii="Times New Roman" w:hAnsi="Times New Roman" w:cs="Times New Roman"/>
          <w:b/>
          <w:bCs/>
          <w:sz w:val="56"/>
          <w:szCs w:val="56"/>
        </w:rPr>
        <w:t>MATRIC NUMBER: 16/</w:t>
      </w:r>
      <w:r w:rsidR="009953DF">
        <w:rPr>
          <w:rFonts w:ascii="Times New Roman" w:hAnsi="Times New Roman" w:cs="Times New Roman"/>
          <w:b/>
          <w:bCs/>
          <w:sz w:val="56"/>
          <w:szCs w:val="56"/>
        </w:rPr>
        <w:t>MHS03</w:t>
      </w:r>
      <w:bookmarkStart w:id="0" w:name="_GoBack"/>
      <w:bookmarkEnd w:id="0"/>
      <w:r w:rsidR="00001CC4">
        <w:rPr>
          <w:rFonts w:ascii="Times New Roman" w:hAnsi="Times New Roman" w:cs="Times New Roman"/>
          <w:b/>
          <w:bCs/>
          <w:sz w:val="56"/>
          <w:szCs w:val="56"/>
        </w:rPr>
        <w:t>/003</w:t>
      </w:r>
    </w:p>
    <w:p w:rsidR="00B54DA1" w:rsidRPr="00CF5F97" w:rsidRDefault="00B54DA1" w:rsidP="00B54DA1">
      <w:pPr>
        <w:spacing w:before="40" w:after="40"/>
        <w:ind w:left="1134" w:right="1134"/>
        <w:jc w:val="center"/>
        <w:rPr>
          <w:rFonts w:ascii="Times New Roman" w:hAnsi="Times New Roman" w:cs="Times New Roman"/>
          <w:b/>
          <w:bCs/>
          <w:sz w:val="56"/>
          <w:szCs w:val="56"/>
        </w:rPr>
      </w:pPr>
      <w:r w:rsidRPr="00CF5F97">
        <w:rPr>
          <w:rFonts w:ascii="Times New Roman" w:hAnsi="Times New Roman" w:cs="Times New Roman"/>
          <w:b/>
          <w:bCs/>
          <w:sz w:val="56"/>
          <w:szCs w:val="56"/>
        </w:rPr>
        <w:t>COURSE CODE: ANA 404</w:t>
      </w:r>
    </w:p>
    <w:p w:rsidR="00B54DA1" w:rsidRPr="00CF5F97" w:rsidRDefault="00B54DA1" w:rsidP="00B54DA1">
      <w:pPr>
        <w:spacing w:before="40" w:after="40"/>
        <w:ind w:left="1134" w:right="1134"/>
        <w:jc w:val="center"/>
        <w:rPr>
          <w:rFonts w:ascii="Times New Roman" w:hAnsi="Times New Roman" w:cs="Times New Roman"/>
          <w:b/>
          <w:bCs/>
          <w:sz w:val="56"/>
          <w:szCs w:val="56"/>
        </w:rPr>
      </w:pPr>
      <w:r w:rsidRPr="00CF5F97">
        <w:rPr>
          <w:rFonts w:ascii="Times New Roman" w:hAnsi="Times New Roman" w:cs="Times New Roman"/>
          <w:b/>
          <w:bCs/>
          <w:sz w:val="56"/>
          <w:szCs w:val="56"/>
        </w:rPr>
        <w:t>COURSE TITLE: INTRODUCTION TO HISTOPATHOLOGY</w:t>
      </w:r>
    </w:p>
    <w:p w:rsidR="00B54DA1" w:rsidRPr="00CF5F97" w:rsidRDefault="00B54DA1" w:rsidP="00B54DA1">
      <w:pPr>
        <w:spacing w:before="40" w:after="40"/>
        <w:ind w:left="1134" w:right="1134"/>
        <w:jc w:val="center"/>
        <w:rPr>
          <w:rFonts w:ascii="Times New Roman" w:hAnsi="Times New Roman" w:cs="Times New Roman"/>
          <w:b/>
          <w:bCs/>
          <w:sz w:val="56"/>
          <w:szCs w:val="56"/>
        </w:rPr>
      </w:pPr>
      <w:r w:rsidRPr="00CF5F97">
        <w:rPr>
          <w:rFonts w:ascii="Times New Roman" w:hAnsi="Times New Roman" w:cs="Times New Roman"/>
          <w:b/>
          <w:bCs/>
          <w:sz w:val="56"/>
          <w:szCs w:val="56"/>
        </w:rPr>
        <w:t>LECTURER: MR. EDEM E EDEM</w:t>
      </w:r>
    </w:p>
    <w:p w:rsidR="00B54DA1" w:rsidRPr="00CF5F97" w:rsidRDefault="00B54DA1" w:rsidP="00B54DA1">
      <w:pPr>
        <w:jc w:val="center"/>
        <w:rPr>
          <w:sz w:val="56"/>
          <w:szCs w:val="56"/>
        </w:rPr>
      </w:pPr>
    </w:p>
    <w:p w:rsidR="00AE092F" w:rsidRPr="00B54DA1" w:rsidRDefault="00AE092F">
      <w:pPr>
        <w:rPr>
          <w:rFonts w:ascii="Calisto MT" w:hAnsi="Calisto MT"/>
          <w:sz w:val="24"/>
          <w:szCs w:val="24"/>
        </w:rPr>
      </w:pPr>
    </w:p>
    <w:p w:rsidR="00AE092F" w:rsidRPr="00B54DA1" w:rsidRDefault="00AE092F">
      <w:pPr>
        <w:rPr>
          <w:rFonts w:ascii="Calisto MT" w:hAnsi="Calisto MT"/>
          <w:sz w:val="24"/>
          <w:szCs w:val="24"/>
        </w:rPr>
      </w:pPr>
    </w:p>
    <w:p w:rsidR="00AE092F" w:rsidRPr="00B54DA1" w:rsidRDefault="00AE092F">
      <w:pPr>
        <w:rPr>
          <w:rFonts w:ascii="Calisto MT" w:hAnsi="Calisto MT"/>
          <w:sz w:val="24"/>
          <w:szCs w:val="24"/>
        </w:rPr>
      </w:pPr>
    </w:p>
    <w:p w:rsidR="00501F3E" w:rsidRPr="00001CC4" w:rsidRDefault="00AE092F" w:rsidP="00001CC4">
      <w:pPr>
        <w:spacing w:line="360" w:lineRule="auto"/>
        <w:rPr>
          <w:rFonts w:ascii="Calisto MT" w:hAnsi="Calisto MT"/>
          <w:b/>
          <w:sz w:val="28"/>
          <w:szCs w:val="28"/>
        </w:rPr>
      </w:pPr>
      <w:r w:rsidRPr="00001CC4">
        <w:rPr>
          <w:rFonts w:ascii="Calisto MT" w:hAnsi="Calisto MT"/>
          <w:b/>
          <w:sz w:val="28"/>
          <w:szCs w:val="28"/>
        </w:rPr>
        <w:lastRenderedPageBreak/>
        <w:t>Introduction to t- and b lymphocytes</w:t>
      </w:r>
    </w:p>
    <w:p w:rsidR="00A72523" w:rsidRPr="00001CC4" w:rsidRDefault="00855C09" w:rsidP="00001CC4">
      <w:pPr>
        <w:spacing w:after="0" w:line="360" w:lineRule="auto"/>
        <w:ind w:firstLine="720"/>
        <w:rPr>
          <w:rFonts w:ascii="Calisto MT" w:hAnsi="Calisto MT"/>
          <w:sz w:val="24"/>
          <w:szCs w:val="24"/>
        </w:rPr>
      </w:pPr>
      <w:r w:rsidRPr="00001CC4">
        <w:rPr>
          <w:rFonts w:ascii="Calisto MT" w:hAnsi="Calisto MT"/>
          <w:sz w:val="24"/>
          <w:szCs w:val="24"/>
        </w:rPr>
        <w:t>A lymphocyte is one of the subtypes of a white blood cell in a vertebrate's immune system. Lymphocytes include natural killer cells (which function in cell-mediated, cytotoxic innate immunity)</w:t>
      </w:r>
      <w:r w:rsidR="00DB2B73" w:rsidRPr="00001CC4">
        <w:rPr>
          <w:rFonts w:ascii="Calisto MT" w:hAnsi="Calisto MT"/>
          <w:sz w:val="24"/>
          <w:szCs w:val="24"/>
        </w:rPr>
        <w:t xml:space="preserve">. </w:t>
      </w:r>
      <w:r w:rsidR="00A72523" w:rsidRPr="00001CC4">
        <w:rPr>
          <w:rFonts w:ascii="Calisto MT" w:hAnsi="Calisto MT"/>
          <w:sz w:val="24"/>
          <w:szCs w:val="24"/>
        </w:rPr>
        <w:t xml:space="preserve">Historically, immune responses have been classified as cellular or humoral. Cellular responses are mediated by T lymphocytes, which recognize and attack their targets directly or indirectly by enlisting the help of other immune cells, while humoral responses are characterized by the production of antibodies by B lymphocytes and their progeny, plasma cells. These antibodies permeate extracellular spaces, where they protect against infection and also contribute to tissue injury in autoimmunity and transplantation. B cells have therefore traditionally been associated with humoral immunity, but we now know that they are equally critical to cellular immunity. (Hoffman </w:t>
      </w:r>
      <w:r w:rsidR="00A72523" w:rsidRPr="00001CC4">
        <w:rPr>
          <w:rFonts w:ascii="Calisto MT" w:hAnsi="Calisto MT"/>
          <w:i/>
          <w:sz w:val="24"/>
          <w:szCs w:val="24"/>
        </w:rPr>
        <w:t>et.,al</w:t>
      </w:r>
      <w:r w:rsidR="00A72523" w:rsidRPr="00001CC4">
        <w:rPr>
          <w:rFonts w:ascii="Calisto MT" w:hAnsi="Calisto MT"/>
          <w:sz w:val="24"/>
          <w:szCs w:val="24"/>
        </w:rPr>
        <w:t xml:space="preserve"> 2016).</w:t>
      </w:r>
    </w:p>
    <w:p w:rsidR="00501F3E" w:rsidRPr="00001CC4" w:rsidRDefault="00855C09" w:rsidP="00001CC4">
      <w:pPr>
        <w:spacing w:after="0" w:line="360" w:lineRule="auto"/>
        <w:rPr>
          <w:rFonts w:ascii="Calisto MT" w:hAnsi="Calisto MT" w:cs="Arial"/>
          <w:color w:val="222222"/>
          <w:sz w:val="24"/>
          <w:szCs w:val="24"/>
          <w:shd w:val="clear" w:color="auto" w:fill="FFFFFF"/>
        </w:rPr>
      </w:pPr>
      <w:r w:rsidRPr="00001CC4">
        <w:rPr>
          <w:rFonts w:ascii="Calisto MT" w:hAnsi="Calisto MT"/>
          <w:sz w:val="24"/>
          <w:szCs w:val="24"/>
        </w:rPr>
        <w:t>The T and B lymphocytes (T and B Cells) are involved in the acquired or antigen-specific immune response given that they are the only cells in the organism able to recognize and respond specifically to each antigenic epitope. The B Cells have the ability to transform into plasmocytes and are responsibl</w:t>
      </w:r>
      <w:r w:rsidR="00DB2B73" w:rsidRPr="00001CC4">
        <w:rPr>
          <w:rFonts w:ascii="Calisto MT" w:hAnsi="Calisto MT"/>
          <w:sz w:val="24"/>
          <w:szCs w:val="24"/>
        </w:rPr>
        <w:t>e for producing antibodies</w:t>
      </w:r>
      <w:r w:rsidRPr="00001CC4">
        <w:rPr>
          <w:rFonts w:ascii="Calisto MT" w:hAnsi="Calisto MT"/>
          <w:sz w:val="24"/>
          <w:szCs w:val="24"/>
        </w:rPr>
        <w:t>. Thus, humoral immunity depends on the B Cells while cell immunity depends on the T Cells.</w:t>
      </w:r>
      <w:r w:rsidRPr="00001CC4">
        <w:rPr>
          <w:rFonts w:ascii="Calisto MT" w:hAnsi="Calisto MT" w:cs="Arial"/>
          <w:color w:val="222222"/>
          <w:sz w:val="24"/>
          <w:szCs w:val="24"/>
          <w:shd w:val="clear" w:color="auto" w:fill="FFFFFF"/>
        </w:rPr>
        <w:t xml:space="preserve"> (Cano, R. L. E., &amp; Lopera, H. D. E, 2013).</w:t>
      </w:r>
      <w:r w:rsidR="00A72523" w:rsidRPr="00001CC4">
        <w:rPr>
          <w:rFonts w:ascii="Calisto MT" w:hAnsi="Calisto MT" w:cs="Arial"/>
          <w:color w:val="222222"/>
          <w:sz w:val="24"/>
          <w:szCs w:val="24"/>
          <w:shd w:val="clear" w:color="auto" w:fill="FFFFFF"/>
        </w:rPr>
        <w:t xml:space="preserve"> </w:t>
      </w:r>
      <w:r w:rsidR="00001CC4">
        <w:rPr>
          <w:rFonts w:ascii="Calisto MT" w:hAnsi="Calisto MT"/>
          <w:sz w:val="24"/>
          <w:szCs w:val="24"/>
        </w:rPr>
        <w:t>T cells and B</w:t>
      </w:r>
      <w:r w:rsidR="00501F3E" w:rsidRPr="00001CC4">
        <w:rPr>
          <w:rFonts w:ascii="Calisto MT" w:hAnsi="Calisto MT"/>
          <w:sz w:val="24"/>
          <w:szCs w:val="24"/>
        </w:rPr>
        <w:t xml:space="preserve"> cells are the two types of lymphocytes that are involved in </w:t>
      </w:r>
      <w:r w:rsidR="00001CC4" w:rsidRPr="00001CC4">
        <w:rPr>
          <w:rFonts w:ascii="Calisto MT" w:hAnsi="Calisto MT"/>
          <w:sz w:val="24"/>
          <w:szCs w:val="24"/>
        </w:rPr>
        <w:t>triggering</w:t>
      </w:r>
      <w:r w:rsidR="00501F3E" w:rsidRPr="00001CC4">
        <w:rPr>
          <w:rFonts w:ascii="Calisto MT" w:hAnsi="Calisto MT"/>
          <w:sz w:val="24"/>
          <w:szCs w:val="24"/>
        </w:rPr>
        <w:t xml:space="preserve"> the immune response in the body. Both T cells and B cells are produced in the bone marrow. The T cells migrate to the thymus for maturation. Both the T</w:t>
      </w:r>
      <w:r w:rsidR="00001CC4">
        <w:rPr>
          <w:rFonts w:ascii="Calisto MT" w:hAnsi="Calisto MT"/>
          <w:sz w:val="24"/>
          <w:szCs w:val="24"/>
        </w:rPr>
        <w:t xml:space="preserve"> </w:t>
      </w:r>
      <w:r w:rsidR="00501F3E" w:rsidRPr="00001CC4">
        <w:rPr>
          <w:rFonts w:ascii="Calisto MT" w:hAnsi="Calisto MT"/>
          <w:sz w:val="24"/>
          <w:szCs w:val="24"/>
        </w:rPr>
        <w:t xml:space="preserve">cells and B cells are involved in recognizing pathogens and other harmful, foreign materials inside the body such as bacteria, viruses, parasites and dead cells  </w:t>
      </w:r>
    </w:p>
    <w:p w:rsidR="00001CC4" w:rsidRDefault="00001CC4" w:rsidP="00001CC4">
      <w:pPr>
        <w:spacing w:line="360" w:lineRule="auto"/>
        <w:rPr>
          <w:rFonts w:ascii="Calisto MT" w:hAnsi="Calisto MT"/>
          <w:sz w:val="24"/>
          <w:szCs w:val="24"/>
        </w:rPr>
      </w:pPr>
    </w:p>
    <w:p w:rsidR="00855C09" w:rsidRPr="00001CC4" w:rsidRDefault="00855C09" w:rsidP="00001CC4">
      <w:pPr>
        <w:spacing w:line="360" w:lineRule="auto"/>
        <w:rPr>
          <w:rFonts w:ascii="Calisto MT" w:hAnsi="Calisto MT"/>
          <w:b/>
          <w:sz w:val="24"/>
          <w:szCs w:val="24"/>
        </w:rPr>
      </w:pPr>
      <w:r w:rsidRPr="00001CC4">
        <w:rPr>
          <w:rFonts w:ascii="Calisto MT" w:hAnsi="Calisto MT"/>
          <w:b/>
          <w:sz w:val="24"/>
          <w:szCs w:val="24"/>
        </w:rPr>
        <w:t xml:space="preserve">T lymphocytes </w:t>
      </w:r>
    </w:p>
    <w:p w:rsidR="00DB2B73" w:rsidRPr="00001CC4" w:rsidRDefault="00DB2B73" w:rsidP="00001CC4">
      <w:pPr>
        <w:spacing w:line="360" w:lineRule="auto"/>
        <w:rPr>
          <w:rFonts w:ascii="Calisto MT" w:hAnsi="Calisto MT" w:cs="Arial"/>
          <w:color w:val="222222"/>
          <w:sz w:val="24"/>
          <w:szCs w:val="24"/>
          <w:shd w:val="clear" w:color="auto" w:fill="FFFFFF"/>
        </w:rPr>
      </w:pPr>
      <w:r w:rsidRPr="00001CC4">
        <w:rPr>
          <w:rFonts w:ascii="Calisto MT" w:hAnsi="Calisto MT"/>
          <w:sz w:val="24"/>
          <w:szCs w:val="24"/>
        </w:rPr>
        <w:t xml:space="preserve"> T </w:t>
      </w:r>
      <w:r w:rsidR="00365E20" w:rsidRPr="00001CC4">
        <w:rPr>
          <w:rFonts w:ascii="Calisto MT" w:hAnsi="Calisto MT"/>
          <w:sz w:val="24"/>
          <w:szCs w:val="24"/>
        </w:rPr>
        <w:t>lymphocytes originate</w:t>
      </w:r>
      <w:r w:rsidR="00855C09" w:rsidRPr="00001CC4">
        <w:rPr>
          <w:rFonts w:ascii="Calisto MT" w:hAnsi="Calisto MT"/>
          <w:sz w:val="24"/>
          <w:szCs w:val="24"/>
        </w:rPr>
        <w:t xml:space="preserve"> from precursor stem cells in fetal liver and bone marrow and differentiate into mature cell types after migration to the thymus</w:t>
      </w:r>
      <w:r w:rsidRPr="00001CC4">
        <w:rPr>
          <w:rFonts w:ascii="Calisto MT" w:hAnsi="Calisto MT" w:cs="Arial"/>
          <w:color w:val="222222"/>
          <w:sz w:val="24"/>
          <w:szCs w:val="24"/>
          <w:shd w:val="clear" w:color="auto" w:fill="FFFFFF"/>
        </w:rPr>
        <w:t xml:space="preserve"> T cells have on their surface T cell antigen receptors (TCR) responsible for recognition of an antigen/major histocompatibility complex (HLA complex), immunological accessory molecules identifying HLA determinants, and adhesion molecules recognizing their counterpart ligands on antigen-presenting cells APCs.</w:t>
      </w:r>
      <w:r w:rsidR="00AB788F" w:rsidRPr="00001CC4">
        <w:rPr>
          <w:rFonts w:ascii="Calisto MT" w:hAnsi="Calisto MT"/>
          <w:sz w:val="24"/>
          <w:szCs w:val="24"/>
        </w:rPr>
        <w:t xml:space="preserve"> (Rydzewska </w:t>
      </w:r>
      <w:r w:rsidR="00AB788F" w:rsidRPr="00001CC4">
        <w:rPr>
          <w:rFonts w:ascii="Calisto MT" w:hAnsi="Calisto MT"/>
          <w:i/>
          <w:sz w:val="24"/>
          <w:szCs w:val="24"/>
        </w:rPr>
        <w:t>et.,al 2018)</w:t>
      </w:r>
      <w:r w:rsidR="00AB788F" w:rsidRPr="00001CC4">
        <w:rPr>
          <w:rFonts w:ascii="Calisto MT" w:hAnsi="Calisto MT"/>
          <w:sz w:val="24"/>
          <w:szCs w:val="24"/>
        </w:rPr>
        <w:t>.</w:t>
      </w:r>
    </w:p>
    <w:p w:rsidR="009253DC" w:rsidRDefault="00AB788F" w:rsidP="00001CC4">
      <w:pPr>
        <w:spacing w:line="360" w:lineRule="auto"/>
        <w:rPr>
          <w:rFonts w:ascii="Calisto MT" w:hAnsi="Calisto MT"/>
          <w:sz w:val="24"/>
          <w:szCs w:val="24"/>
        </w:rPr>
      </w:pPr>
      <w:r w:rsidRPr="00001CC4">
        <w:rPr>
          <w:rFonts w:ascii="Calisto MT" w:hAnsi="Calisto MT"/>
          <w:sz w:val="24"/>
          <w:szCs w:val="24"/>
        </w:rPr>
        <w:lastRenderedPageBreak/>
        <w:t xml:space="preserve"> T cells are a type of lymphocytes that develop in the thymus. They are also called T lymphocytes.  These </w:t>
      </w:r>
      <w:r w:rsidR="009253DC" w:rsidRPr="00001CC4">
        <w:rPr>
          <w:rFonts w:ascii="Calisto MT" w:hAnsi="Calisto MT"/>
          <w:sz w:val="24"/>
          <w:szCs w:val="24"/>
        </w:rPr>
        <w:t>cells are</w:t>
      </w:r>
      <w:r w:rsidRPr="00001CC4">
        <w:rPr>
          <w:rFonts w:ascii="Calisto MT" w:hAnsi="Calisto MT"/>
          <w:sz w:val="24"/>
          <w:szCs w:val="24"/>
        </w:rPr>
        <w:t xml:space="preserve"> primarily produced in the bone marrow and migrate to the thymus for maturation. The immature T cells differentiate into  three  types  of T  Cells: helper  T cell,  cytotoxic  T ce</w:t>
      </w:r>
      <w:r w:rsidR="00001CC4">
        <w:rPr>
          <w:rFonts w:ascii="Calisto MT" w:hAnsi="Calisto MT"/>
          <w:sz w:val="24"/>
          <w:szCs w:val="24"/>
        </w:rPr>
        <w:t>lls,  and  suppressor T  cells.</w:t>
      </w:r>
      <w:r w:rsidRPr="00001CC4">
        <w:rPr>
          <w:rFonts w:ascii="Calisto MT" w:hAnsi="Calisto MT"/>
          <w:sz w:val="24"/>
          <w:szCs w:val="24"/>
        </w:rPr>
        <w:t xml:space="preserve"> </w:t>
      </w:r>
      <w:r w:rsidR="00001CC4" w:rsidRPr="00001CC4">
        <w:rPr>
          <w:rFonts w:ascii="Calisto MT" w:hAnsi="Calisto MT"/>
          <w:sz w:val="24"/>
          <w:szCs w:val="24"/>
        </w:rPr>
        <w:t>The helper</w:t>
      </w:r>
      <w:r w:rsidR="00001CC4">
        <w:rPr>
          <w:rFonts w:ascii="Calisto MT" w:hAnsi="Calisto MT"/>
          <w:sz w:val="24"/>
          <w:szCs w:val="24"/>
        </w:rPr>
        <w:t xml:space="preserve"> T </w:t>
      </w:r>
      <w:r w:rsidR="00001CC4" w:rsidRPr="00001CC4">
        <w:rPr>
          <w:rFonts w:ascii="Calisto MT" w:hAnsi="Calisto MT"/>
          <w:sz w:val="24"/>
          <w:szCs w:val="24"/>
        </w:rPr>
        <w:t>cells primarily</w:t>
      </w:r>
      <w:r w:rsidRPr="00001CC4">
        <w:rPr>
          <w:rFonts w:ascii="Calisto MT" w:hAnsi="Calisto MT"/>
          <w:sz w:val="24"/>
          <w:szCs w:val="24"/>
        </w:rPr>
        <w:t xml:space="preserve"> recognize antigens and activate both cytotoxic T cells and B cells. The B cells secrete antibodies and cytotoxic T cells destroy the infected cells by apoptosis. The suppressor T cells modulate the immune system in such a way to tolerate the self-antigens, preventing autoimmune diseases .Both  helper  and  cytotoxic  T  cells  recognize  various  antigens  in  the  circulation  system,  which  are  shredded  by pathogens. These antigens should be presented on the surfaces of the antigen presenting cell (APS).  Macrophages,dendritic cells,  Langerhans  cells, and B  cells  are the types  of APSs. </w:t>
      </w:r>
    </w:p>
    <w:p w:rsidR="00AB788F" w:rsidRPr="00001CC4" w:rsidRDefault="00AB788F" w:rsidP="00001CC4">
      <w:pPr>
        <w:spacing w:line="360" w:lineRule="auto"/>
        <w:rPr>
          <w:rFonts w:ascii="Calisto MT" w:hAnsi="Calisto MT"/>
          <w:b/>
          <w:sz w:val="24"/>
          <w:szCs w:val="24"/>
        </w:rPr>
      </w:pPr>
      <w:r w:rsidRPr="00001CC4">
        <w:rPr>
          <w:rFonts w:ascii="Calisto MT" w:hAnsi="Calisto MT"/>
          <w:b/>
          <w:sz w:val="24"/>
          <w:szCs w:val="24"/>
        </w:rPr>
        <w:t>B lymphocytes</w:t>
      </w:r>
    </w:p>
    <w:p w:rsidR="00A72523" w:rsidRPr="00001CC4" w:rsidRDefault="000E220F" w:rsidP="00001CC4">
      <w:pPr>
        <w:spacing w:line="360" w:lineRule="auto"/>
        <w:rPr>
          <w:rFonts w:ascii="Calisto MT" w:hAnsi="Calisto MT"/>
          <w:sz w:val="24"/>
          <w:szCs w:val="24"/>
        </w:rPr>
      </w:pPr>
      <w:r w:rsidRPr="00001CC4">
        <w:rPr>
          <w:rFonts w:ascii="Calisto MT" w:hAnsi="Calisto MT"/>
          <w:sz w:val="24"/>
          <w:szCs w:val="24"/>
        </w:rPr>
        <w:t>B cells develop from hematopoietic stem cells (HSCs) that originate from bone marrow which first differentiate into multipotent progenitor (MPP) cells, then common lymphoid progenitor (CLP) cells.</w:t>
      </w:r>
      <w:r w:rsidR="00AB788F" w:rsidRPr="00001CC4">
        <w:rPr>
          <w:rFonts w:ascii="Calisto MT" w:hAnsi="Calisto MT"/>
          <w:sz w:val="24"/>
          <w:szCs w:val="24"/>
        </w:rPr>
        <w:t xml:space="preserve"> Maturation of B cells takes place in bone marrow, whereas their activation occurs in the secondary lymphoid organs such as lymph nodes a</w:t>
      </w:r>
      <w:r w:rsidR="00A72523" w:rsidRPr="00001CC4">
        <w:rPr>
          <w:rFonts w:ascii="Calisto MT" w:hAnsi="Calisto MT"/>
          <w:sz w:val="24"/>
          <w:szCs w:val="24"/>
        </w:rPr>
        <w:t>nd the spleen.</w:t>
      </w:r>
      <w:r w:rsidR="009253DC">
        <w:rPr>
          <w:rFonts w:ascii="Calisto MT" w:hAnsi="Calisto MT"/>
          <w:sz w:val="24"/>
          <w:szCs w:val="24"/>
        </w:rPr>
        <w:t xml:space="preserve">    </w:t>
      </w:r>
      <w:r w:rsidR="00A72523" w:rsidRPr="00001CC4">
        <w:rPr>
          <w:rFonts w:ascii="Calisto MT" w:hAnsi="Calisto MT"/>
          <w:sz w:val="24"/>
          <w:szCs w:val="24"/>
        </w:rPr>
        <w:t xml:space="preserve"> B cells also play an immunomodulatory role in regulating the immune response by secreting cytokines that inhibit disease onset and/or progression</w:t>
      </w:r>
      <w:r w:rsidR="00AB788F" w:rsidRPr="00001CC4">
        <w:rPr>
          <w:rFonts w:ascii="Calisto MT" w:hAnsi="Calisto MT"/>
          <w:sz w:val="24"/>
          <w:szCs w:val="24"/>
        </w:rPr>
        <w:t xml:space="preserve"> </w:t>
      </w:r>
      <w:r w:rsidR="00A72523" w:rsidRPr="00001CC4">
        <w:rPr>
          <w:rFonts w:ascii="Calisto MT" w:hAnsi="Calisto MT"/>
          <w:sz w:val="24"/>
          <w:szCs w:val="24"/>
        </w:rPr>
        <w:t>(Hoffman et.,al 2016).</w:t>
      </w:r>
    </w:p>
    <w:p w:rsidR="00CD6B4F" w:rsidRPr="00001CC4" w:rsidRDefault="00CD6B4F" w:rsidP="00001CC4">
      <w:pPr>
        <w:spacing w:line="360" w:lineRule="auto"/>
        <w:rPr>
          <w:rFonts w:ascii="Calisto MT" w:hAnsi="Calisto MT"/>
          <w:sz w:val="24"/>
          <w:szCs w:val="24"/>
        </w:rPr>
      </w:pPr>
      <w:r w:rsidRPr="00001CC4">
        <w:rPr>
          <w:rFonts w:ascii="Calisto MT" w:hAnsi="Calisto MT"/>
          <w:sz w:val="24"/>
          <w:szCs w:val="24"/>
        </w:rPr>
        <w:t>The discovery of B cells did not originate in the identification of a cell, but rather the identification of a protein (ie, Ig or antibody).</w:t>
      </w:r>
      <w:r w:rsidR="00A72523" w:rsidRPr="00001CC4">
        <w:rPr>
          <w:rFonts w:ascii="Calisto MT" w:hAnsi="Calisto MT"/>
          <w:sz w:val="24"/>
          <w:szCs w:val="24"/>
        </w:rPr>
        <w:t>The B-lymphocyte system is fully developed at birth. The origin of the human B lymphocyte is not well defined but fetal B lymphocytes can be recognized in the yolk sac, omentum, and fetal liver. After birth B-lymphocyte development takes place in the bone marrow.</w:t>
      </w:r>
    </w:p>
    <w:p w:rsidR="000E220F" w:rsidRPr="00001CC4" w:rsidRDefault="00001CC4" w:rsidP="00001CC4">
      <w:pPr>
        <w:spacing w:after="0" w:line="360" w:lineRule="auto"/>
        <w:rPr>
          <w:rFonts w:ascii="Calisto MT" w:hAnsi="Calisto MT"/>
          <w:b/>
          <w:sz w:val="24"/>
          <w:szCs w:val="24"/>
        </w:rPr>
      </w:pPr>
      <w:r w:rsidRPr="00001CC4">
        <w:rPr>
          <w:rFonts w:ascii="Calisto MT" w:hAnsi="Calisto MT"/>
          <w:b/>
          <w:sz w:val="24"/>
          <w:szCs w:val="24"/>
        </w:rPr>
        <w:t>Introduction to O</w:t>
      </w:r>
      <w:r w:rsidR="000E220F" w:rsidRPr="00001CC4">
        <w:rPr>
          <w:rFonts w:ascii="Calisto MT" w:hAnsi="Calisto MT"/>
          <w:b/>
          <w:sz w:val="24"/>
          <w:szCs w:val="24"/>
        </w:rPr>
        <w:t>steomyelitis</w:t>
      </w:r>
    </w:p>
    <w:p w:rsidR="00001CC4" w:rsidRDefault="00BC6655" w:rsidP="00001CC4">
      <w:pPr>
        <w:spacing w:line="360" w:lineRule="auto"/>
        <w:rPr>
          <w:rFonts w:ascii="Calisto MT" w:hAnsi="Calisto MT"/>
          <w:sz w:val="24"/>
          <w:szCs w:val="24"/>
        </w:rPr>
      </w:pPr>
      <w:r w:rsidRPr="00001CC4">
        <w:rPr>
          <w:rFonts w:ascii="Calisto MT" w:hAnsi="Calisto MT"/>
          <w:sz w:val="24"/>
          <w:szCs w:val="24"/>
        </w:rPr>
        <w:t xml:space="preserve">Osteomyelitis is an infection and inflammation of the bone or the bone </w:t>
      </w:r>
      <w:r w:rsidR="00001CC4" w:rsidRPr="00001CC4">
        <w:rPr>
          <w:rFonts w:ascii="Calisto MT" w:hAnsi="Calisto MT"/>
          <w:sz w:val="24"/>
          <w:szCs w:val="24"/>
        </w:rPr>
        <w:t>marrow. It</w:t>
      </w:r>
      <w:r w:rsidRPr="00001CC4">
        <w:rPr>
          <w:rFonts w:ascii="Calisto MT" w:hAnsi="Calisto MT"/>
          <w:sz w:val="24"/>
          <w:szCs w:val="24"/>
        </w:rPr>
        <w:t xml:space="preserve"> </w:t>
      </w:r>
      <w:r w:rsidR="000E220F" w:rsidRPr="00001CC4">
        <w:rPr>
          <w:rFonts w:ascii="Calisto MT" w:hAnsi="Calisto MT"/>
          <w:sz w:val="24"/>
          <w:szCs w:val="24"/>
        </w:rPr>
        <w:t>is a devastating disease caused by microbial infection of bone.</w:t>
      </w:r>
      <w:r w:rsidR="00001CC4" w:rsidRPr="00001CC4">
        <w:rPr>
          <w:rFonts w:ascii="Calisto MT" w:hAnsi="Calisto MT"/>
          <w:sz w:val="24"/>
          <w:szCs w:val="24"/>
        </w:rPr>
        <w:t xml:space="preserve">The most common causative species are the usually commensal staphylococci, with Staphylococcus aureus and Staphylococcus epidermidis responsible for the majority of cases. Staphylococcus aureus is </w:t>
      </w:r>
      <w:r w:rsidR="00001CC4" w:rsidRPr="00001CC4">
        <w:rPr>
          <w:rFonts w:ascii="Calisto MT" w:hAnsi="Calisto MT"/>
          <w:sz w:val="24"/>
          <w:szCs w:val="24"/>
        </w:rPr>
        <w:lastRenderedPageBreak/>
        <w:t xml:space="preserve">responsible for the majority of chronic osteomyelitis cases and is often considered to be incurable due to bacterial persistence deep within bone. </w:t>
      </w:r>
    </w:p>
    <w:p w:rsidR="00001CC4" w:rsidRPr="00001CC4" w:rsidRDefault="00001CC4" w:rsidP="00001CC4">
      <w:pPr>
        <w:spacing w:line="360" w:lineRule="auto"/>
        <w:rPr>
          <w:rFonts w:ascii="Calisto MT" w:hAnsi="Calisto MT"/>
          <w:sz w:val="24"/>
          <w:szCs w:val="24"/>
        </w:rPr>
      </w:pPr>
      <w:r>
        <w:rPr>
          <w:rFonts w:ascii="Calisto MT" w:hAnsi="Calisto MT"/>
          <w:sz w:val="24"/>
          <w:szCs w:val="24"/>
        </w:rPr>
        <w:t>T</w:t>
      </w:r>
      <w:r w:rsidR="000E220F" w:rsidRPr="00001CC4">
        <w:rPr>
          <w:rFonts w:ascii="Calisto MT" w:hAnsi="Calisto MT"/>
          <w:sz w:val="24"/>
          <w:szCs w:val="24"/>
        </w:rPr>
        <w:t>he frequency of infection following elective orthopedic surgery is low, rates of reinfection are disturbingly high.</w:t>
      </w:r>
      <w:r w:rsidR="00BC6655" w:rsidRPr="00001CC4">
        <w:rPr>
          <w:rFonts w:ascii="Calisto MT" w:hAnsi="Calisto MT"/>
          <w:sz w:val="24"/>
          <w:szCs w:val="24"/>
        </w:rPr>
        <w:t xml:space="preserve"> </w:t>
      </w:r>
      <w:r w:rsidR="00872AA1" w:rsidRPr="00001CC4">
        <w:rPr>
          <w:rFonts w:ascii="Calisto MT" w:hAnsi="Calisto MT"/>
          <w:sz w:val="24"/>
          <w:szCs w:val="24"/>
        </w:rPr>
        <w:t>(</w:t>
      </w:r>
      <w:r w:rsidR="00BC6655" w:rsidRPr="00001CC4">
        <w:rPr>
          <w:rFonts w:ascii="Calisto MT" w:hAnsi="Calisto MT" w:cs="Arial"/>
          <w:color w:val="222222"/>
          <w:sz w:val="24"/>
          <w:szCs w:val="24"/>
          <w:shd w:val="clear" w:color="auto" w:fill="FFFFFF"/>
        </w:rPr>
        <w:t>Bhowmik, D.,</w:t>
      </w:r>
      <w:r w:rsidR="00BC6655" w:rsidRPr="00001CC4">
        <w:rPr>
          <w:rFonts w:ascii="Calisto MT" w:hAnsi="Calisto MT" w:cs="Arial"/>
          <w:i/>
          <w:color w:val="222222"/>
          <w:sz w:val="24"/>
          <w:szCs w:val="24"/>
          <w:shd w:val="clear" w:color="auto" w:fill="FFFFFF"/>
        </w:rPr>
        <w:t xml:space="preserve">et.al., </w:t>
      </w:r>
      <w:r>
        <w:rPr>
          <w:rFonts w:ascii="Calisto MT" w:hAnsi="Calisto MT" w:cs="Arial"/>
          <w:color w:val="222222"/>
          <w:sz w:val="24"/>
          <w:szCs w:val="24"/>
          <w:shd w:val="clear" w:color="auto" w:fill="FFFFFF"/>
        </w:rPr>
        <w:t xml:space="preserve">2018). It </w:t>
      </w:r>
      <w:r w:rsidR="00872AA1" w:rsidRPr="00001CC4">
        <w:rPr>
          <w:rFonts w:ascii="Calisto MT" w:hAnsi="Calisto MT" w:cs="Arial"/>
          <w:color w:val="222222"/>
          <w:sz w:val="24"/>
          <w:szCs w:val="24"/>
          <w:shd w:val="clear" w:color="auto" w:fill="FFFFFF"/>
        </w:rPr>
        <w:t>has traditionally been classified into three categories.</w:t>
      </w:r>
    </w:p>
    <w:p w:rsidR="00001CC4" w:rsidRDefault="00872AA1" w:rsidP="00001CC4">
      <w:pPr>
        <w:spacing w:after="0" w:line="360" w:lineRule="auto"/>
        <w:rPr>
          <w:rFonts w:ascii="Calisto MT" w:hAnsi="Calisto MT" w:cs="Arial"/>
          <w:color w:val="222222"/>
          <w:sz w:val="24"/>
          <w:szCs w:val="24"/>
          <w:shd w:val="clear" w:color="auto" w:fill="FFFFFF"/>
        </w:rPr>
      </w:pPr>
      <w:r w:rsidRPr="00001CC4">
        <w:rPr>
          <w:rFonts w:ascii="Calisto MT" w:hAnsi="Calisto MT" w:cs="Arial"/>
          <w:b/>
          <w:color w:val="222222"/>
          <w:sz w:val="24"/>
          <w:szCs w:val="24"/>
          <w:shd w:val="clear" w:color="auto" w:fill="FFFFFF"/>
        </w:rPr>
        <w:t>The first category</w:t>
      </w:r>
      <w:r w:rsidRPr="00001CC4">
        <w:rPr>
          <w:rFonts w:ascii="Calisto MT" w:hAnsi="Calisto MT" w:cs="Arial"/>
          <w:color w:val="222222"/>
          <w:sz w:val="24"/>
          <w:szCs w:val="24"/>
          <w:shd w:val="clear" w:color="auto" w:fill="FFFFFF"/>
        </w:rPr>
        <w:t xml:space="preserve">, hematogenous osteomyelitis, is bone infection that has been seeded through the bloodstream. </w:t>
      </w:r>
    </w:p>
    <w:p w:rsidR="00001CC4" w:rsidRDefault="00872AA1" w:rsidP="00001CC4">
      <w:pPr>
        <w:spacing w:after="0" w:line="360" w:lineRule="auto"/>
        <w:rPr>
          <w:rFonts w:ascii="Calisto MT" w:hAnsi="Calisto MT" w:cs="Arial"/>
          <w:color w:val="222222"/>
          <w:sz w:val="24"/>
          <w:szCs w:val="24"/>
          <w:shd w:val="clear" w:color="auto" w:fill="FFFFFF"/>
        </w:rPr>
      </w:pPr>
      <w:r w:rsidRPr="00001CC4">
        <w:rPr>
          <w:rFonts w:ascii="Calisto MT" w:hAnsi="Calisto MT" w:cs="Arial"/>
          <w:b/>
          <w:color w:val="222222"/>
          <w:sz w:val="24"/>
          <w:szCs w:val="24"/>
          <w:shd w:val="clear" w:color="auto" w:fill="FFFFFF"/>
        </w:rPr>
        <w:t>The second</w:t>
      </w:r>
      <w:r w:rsidRPr="00001CC4">
        <w:rPr>
          <w:rFonts w:ascii="Calisto MT" w:hAnsi="Calisto MT" w:cs="Arial"/>
          <w:color w:val="222222"/>
          <w:sz w:val="24"/>
          <w:szCs w:val="24"/>
          <w:shd w:val="clear" w:color="auto" w:fill="FFFFFF"/>
        </w:rPr>
        <w:t>, osteomyelitis due to spread from a contiguous focus of infection without vascular insufficiency, is seen most often after trauma or surgery, and is caused by bacteria which gain access to bone by direct inoculation (for example, a contaminated compound fracture) or extension to bone from adjacent contaminated soft tissue (for example, a prosthetic joint contaminated at the time of implantation).</w:t>
      </w:r>
    </w:p>
    <w:p w:rsidR="00872AA1" w:rsidRPr="00001CC4" w:rsidRDefault="00872AA1" w:rsidP="00001CC4">
      <w:pPr>
        <w:spacing w:after="0" w:line="360" w:lineRule="auto"/>
        <w:rPr>
          <w:rFonts w:ascii="Calisto MT" w:hAnsi="Calisto MT" w:cs="Arial"/>
          <w:color w:val="222222"/>
          <w:sz w:val="24"/>
          <w:szCs w:val="24"/>
          <w:shd w:val="clear" w:color="auto" w:fill="FFFFFF"/>
        </w:rPr>
      </w:pPr>
      <w:r w:rsidRPr="00001CC4">
        <w:rPr>
          <w:rFonts w:ascii="Calisto MT" w:hAnsi="Calisto MT" w:cs="Arial"/>
          <w:b/>
          <w:color w:val="222222"/>
          <w:sz w:val="24"/>
          <w:szCs w:val="24"/>
          <w:shd w:val="clear" w:color="auto" w:fill="FFFFFF"/>
        </w:rPr>
        <w:t>The third category</w:t>
      </w:r>
      <w:r w:rsidRPr="00001CC4">
        <w:rPr>
          <w:rFonts w:ascii="Calisto MT" w:hAnsi="Calisto MT" w:cs="Arial"/>
          <w:color w:val="222222"/>
          <w:sz w:val="24"/>
          <w:szCs w:val="24"/>
          <w:shd w:val="clear" w:color="auto" w:fill="FFFFFF"/>
        </w:rPr>
        <w:t>, osteomyelitis due to contiguous infection with vascular insufficiency, is seen almost exclusively in the lower extremities, most commonly as a diabetic foot infection ( Fritz, J. M., &amp; McDonald, J. R. (2008).</w:t>
      </w:r>
    </w:p>
    <w:p w:rsidR="000E220F" w:rsidRPr="00001CC4" w:rsidRDefault="00505E90" w:rsidP="00001CC4">
      <w:pPr>
        <w:spacing w:line="360" w:lineRule="auto"/>
        <w:rPr>
          <w:rFonts w:ascii="Calisto MT" w:hAnsi="Calisto MT"/>
          <w:sz w:val="24"/>
          <w:szCs w:val="24"/>
        </w:rPr>
      </w:pPr>
      <w:r w:rsidRPr="00001CC4">
        <w:rPr>
          <w:rFonts w:ascii="Calisto MT" w:hAnsi="Calisto MT"/>
          <w:sz w:val="24"/>
          <w:szCs w:val="24"/>
        </w:rPr>
        <w:t>Osteomyelitis is an inflammatory bone disease that is caused by an infecting microorganism and leads to progressive bone destruction and loss</w:t>
      </w:r>
      <w:r w:rsidR="009253DC">
        <w:rPr>
          <w:rFonts w:ascii="Calisto MT" w:hAnsi="Calisto MT"/>
          <w:sz w:val="24"/>
          <w:szCs w:val="24"/>
        </w:rPr>
        <w:t>.</w:t>
      </w:r>
    </w:p>
    <w:p w:rsidR="006618EA" w:rsidRPr="00001CC4" w:rsidRDefault="006618EA" w:rsidP="00001CC4">
      <w:pPr>
        <w:spacing w:line="360" w:lineRule="auto"/>
        <w:rPr>
          <w:rFonts w:ascii="Calisto MT" w:hAnsi="Calisto MT"/>
          <w:sz w:val="24"/>
          <w:szCs w:val="24"/>
        </w:rPr>
      </w:pPr>
      <w:r w:rsidRPr="00001CC4">
        <w:rPr>
          <w:rFonts w:ascii="Calisto MT" w:hAnsi="Calisto MT"/>
          <w:sz w:val="24"/>
          <w:szCs w:val="24"/>
        </w:rPr>
        <w:t>Treatment often involves both antimicrobials and surgery.</w:t>
      </w:r>
      <w:r w:rsidR="00001CC4">
        <w:rPr>
          <w:rFonts w:ascii="Calisto MT" w:hAnsi="Calisto MT"/>
          <w:sz w:val="24"/>
          <w:szCs w:val="24"/>
        </w:rPr>
        <w:t xml:space="preserve"> </w:t>
      </w:r>
      <w:r w:rsidRPr="00001CC4">
        <w:rPr>
          <w:rFonts w:ascii="Calisto MT" w:hAnsi="Calisto MT"/>
          <w:sz w:val="24"/>
          <w:szCs w:val="24"/>
        </w:rPr>
        <w:t>In those with poor blood flow, amputa</w:t>
      </w:r>
      <w:r w:rsidR="00001CC4">
        <w:rPr>
          <w:rFonts w:ascii="Calisto MT" w:hAnsi="Calisto MT"/>
          <w:sz w:val="24"/>
          <w:szCs w:val="24"/>
        </w:rPr>
        <w:t xml:space="preserve">tion may be required. The </w:t>
      </w:r>
      <w:r w:rsidRPr="00001CC4">
        <w:rPr>
          <w:rFonts w:ascii="Calisto MT" w:hAnsi="Calisto MT"/>
          <w:sz w:val="24"/>
          <w:szCs w:val="24"/>
        </w:rPr>
        <w:t xml:space="preserve">outcomes are generally good when the condition has only been present a short time. About 2.4 per 100,000 people are affected a </w:t>
      </w:r>
      <w:r w:rsidR="00001CC4" w:rsidRPr="00001CC4">
        <w:rPr>
          <w:rFonts w:ascii="Calisto MT" w:hAnsi="Calisto MT"/>
          <w:sz w:val="24"/>
          <w:szCs w:val="24"/>
        </w:rPr>
        <w:t>year. The</w:t>
      </w:r>
      <w:r w:rsidRPr="00001CC4">
        <w:rPr>
          <w:rFonts w:ascii="Calisto MT" w:hAnsi="Calisto MT"/>
          <w:sz w:val="24"/>
          <w:szCs w:val="24"/>
        </w:rPr>
        <w:t xml:space="preserve"> young and old are more commonly </w:t>
      </w:r>
      <w:r w:rsidR="00001CC4" w:rsidRPr="00001CC4">
        <w:rPr>
          <w:rFonts w:ascii="Calisto MT" w:hAnsi="Calisto MT"/>
          <w:sz w:val="24"/>
          <w:szCs w:val="24"/>
        </w:rPr>
        <w:t>affected. Males</w:t>
      </w:r>
      <w:r w:rsidRPr="00001CC4">
        <w:rPr>
          <w:rFonts w:ascii="Calisto MT" w:hAnsi="Calisto MT"/>
          <w:sz w:val="24"/>
          <w:szCs w:val="24"/>
        </w:rPr>
        <w:t xml:space="preserve"> are more commonly affected than females.( Ferri et al .,2017)The condition was described at least as early as the 300s BC by Hippocrates.Before the availability of antibiotics the risk of death was significant(Brackenridge et al .,2016)</w:t>
      </w:r>
    </w:p>
    <w:p w:rsidR="006618EA" w:rsidRPr="009F4846" w:rsidRDefault="006618EA" w:rsidP="00001CC4">
      <w:pPr>
        <w:spacing w:line="360" w:lineRule="auto"/>
        <w:rPr>
          <w:rFonts w:ascii="Calisto MT" w:hAnsi="Calisto MT"/>
          <w:b/>
          <w:sz w:val="24"/>
          <w:szCs w:val="24"/>
        </w:rPr>
      </w:pPr>
      <w:r w:rsidRPr="00001CC4">
        <w:rPr>
          <w:rFonts w:ascii="Calisto MT" w:hAnsi="Calisto MT"/>
          <w:sz w:val="24"/>
          <w:szCs w:val="24"/>
        </w:rPr>
        <w:t xml:space="preserve"> </w:t>
      </w:r>
      <w:r w:rsidR="00F76292" w:rsidRPr="009F4846">
        <w:rPr>
          <w:rFonts w:ascii="Calisto MT" w:hAnsi="Calisto MT"/>
          <w:b/>
          <w:sz w:val="24"/>
          <w:szCs w:val="24"/>
        </w:rPr>
        <w:t xml:space="preserve">Involvement </w:t>
      </w:r>
      <w:r w:rsidR="009F4846">
        <w:rPr>
          <w:rFonts w:ascii="Calisto MT" w:hAnsi="Calisto MT"/>
          <w:b/>
          <w:sz w:val="24"/>
          <w:szCs w:val="24"/>
        </w:rPr>
        <w:t>of T and B L</w:t>
      </w:r>
      <w:r w:rsidR="00F76292" w:rsidRPr="009F4846">
        <w:rPr>
          <w:rFonts w:ascii="Calisto MT" w:hAnsi="Calisto MT"/>
          <w:b/>
          <w:sz w:val="24"/>
          <w:szCs w:val="24"/>
        </w:rPr>
        <w:t>ymphocytes</w:t>
      </w:r>
      <w:r w:rsidR="009253DC">
        <w:rPr>
          <w:rFonts w:ascii="Calisto MT" w:hAnsi="Calisto MT"/>
          <w:b/>
          <w:sz w:val="24"/>
          <w:szCs w:val="24"/>
        </w:rPr>
        <w:t xml:space="preserve"> in Osteomyelitis </w:t>
      </w:r>
      <w:r w:rsidRPr="009F4846">
        <w:rPr>
          <w:rFonts w:ascii="Calisto MT" w:hAnsi="Calisto MT"/>
          <w:b/>
          <w:sz w:val="24"/>
          <w:szCs w:val="24"/>
        </w:rPr>
        <w:t xml:space="preserve">  </w:t>
      </w:r>
    </w:p>
    <w:p w:rsidR="000E220F" w:rsidRPr="00001CC4" w:rsidRDefault="006618EA" w:rsidP="00001CC4">
      <w:pPr>
        <w:spacing w:line="360" w:lineRule="auto"/>
        <w:rPr>
          <w:rFonts w:ascii="Calisto MT" w:hAnsi="Calisto MT"/>
          <w:sz w:val="24"/>
          <w:szCs w:val="24"/>
        </w:rPr>
      </w:pPr>
      <w:r w:rsidRPr="00001CC4">
        <w:rPr>
          <w:rFonts w:ascii="Calisto MT" w:hAnsi="Calisto MT"/>
          <w:sz w:val="24"/>
          <w:szCs w:val="24"/>
        </w:rPr>
        <w:t xml:space="preserve">T cell activation is invariably associated with virus infections, but activation of T cells is also noted, for example, in patients with persistent bacterial infections with intracellular pathogens or localised bacterial biofilms. The latter is characterised by a destructive inflammatory process. Massive infiltration of leukocytes, predominantly of polymorphonuclear neutrophils (PMNs) and of T lymphocytes, is seen. While PMN influx </w:t>
      </w:r>
      <w:r w:rsidRPr="00001CC4">
        <w:rPr>
          <w:rFonts w:ascii="Calisto MT" w:hAnsi="Calisto MT"/>
          <w:sz w:val="24"/>
          <w:szCs w:val="24"/>
        </w:rPr>
        <w:lastRenderedPageBreak/>
        <w:t>into sites of bacterial infection is in line with their role as “first-line defence” a role of T cells in bacterial infection has not yet been delineated. We now found evidence for activation and expansion of peripheral blood T cells and an upregulation of Toll-like receptors 1, 2, and 4 on small portions of T cells. T cells recovered from the infected site were terminally differentiated and produced interferon gamma, a cytokine known to enhance functions of phagocytic cells, leading to the conclusion that infiltrated T cells support the local immuner defence.</w:t>
      </w:r>
    </w:p>
    <w:p w:rsidR="00F76292" w:rsidRPr="00001CC4" w:rsidRDefault="00F76292" w:rsidP="00001CC4">
      <w:pPr>
        <w:spacing w:line="360" w:lineRule="auto"/>
        <w:jc w:val="both"/>
        <w:rPr>
          <w:rFonts w:ascii="Calisto MT" w:hAnsi="Calisto MT" w:cs="Times New Roman"/>
          <w:sz w:val="24"/>
          <w:szCs w:val="24"/>
        </w:rPr>
      </w:pPr>
      <w:r w:rsidRPr="00001CC4">
        <w:rPr>
          <w:rFonts w:ascii="Calisto MT" w:hAnsi="Calisto MT" w:cs="Times New Roman"/>
          <w:sz w:val="24"/>
          <w:szCs w:val="24"/>
        </w:rPr>
        <w:t>T cell activation is invariably associated with virus infections, but activation of T cells is also noted, for example, in patients with persistent bacterial infections with intracellular pathogens or localised bacterial biofilms. The latter is characterised by a destructive inflammatory process. Massive infiltration of leukocytes, predominantly of polymorphonuclear neutrophils (PMNs) and of T lymphocytes, is seen. While PMN influx into sites of bacterial infection is in line with their role as “first-line defence” a role of T cells in bacterial infection has not yet been delineated. We now found evidence for activation and expansion of peripheral blood T cells and an upregulation of Toll-like receptors 1, 2, and 4 on small portions of T cells. T cells recovered from the infected site were terminally differentiated and produced interferon gamma, a cytokine known to enhance functions of phagocytic cells, leading to the conclusion that infiltrated T cells support the local immuner defence.</w:t>
      </w:r>
    </w:p>
    <w:p w:rsidR="00F76292" w:rsidRPr="00001CC4" w:rsidRDefault="00F76292" w:rsidP="00001CC4">
      <w:pPr>
        <w:spacing w:line="360" w:lineRule="auto"/>
        <w:jc w:val="both"/>
        <w:rPr>
          <w:rFonts w:ascii="Calisto MT" w:hAnsi="Calisto MT" w:cs="Times New Roman"/>
          <w:sz w:val="24"/>
          <w:szCs w:val="24"/>
        </w:rPr>
      </w:pPr>
      <w:r w:rsidRPr="00001CC4">
        <w:rPr>
          <w:rFonts w:ascii="Calisto MT" w:hAnsi="Calisto MT" w:cs="Times New Roman"/>
          <w:sz w:val="24"/>
          <w:szCs w:val="24"/>
        </w:rPr>
        <w:t>Activation and expansion of T lymphocytes is invariably associated with the immune response to virus infection, and the clearance of virus-infected cells. Activation of T cells, however, is also seen in bacterial infection, particularly in those caused by intracellular bacteria (J. T. Harty et al .,2000)and—as we showed recently—in patients with implant-associated osteomyelitis, a prototype of a biofilm infection (C. Wagner et al .,2006)</w:t>
      </w:r>
    </w:p>
    <w:p w:rsidR="009253DC" w:rsidRDefault="00F76292" w:rsidP="00001CC4">
      <w:pPr>
        <w:spacing w:line="360" w:lineRule="auto"/>
        <w:jc w:val="both"/>
        <w:rPr>
          <w:rFonts w:ascii="Calisto MT" w:hAnsi="Calisto MT" w:cs="Times New Roman"/>
          <w:sz w:val="24"/>
          <w:szCs w:val="24"/>
        </w:rPr>
      </w:pPr>
      <w:r w:rsidRPr="00001CC4">
        <w:rPr>
          <w:rFonts w:ascii="Calisto MT" w:hAnsi="Calisto MT" w:cs="Times New Roman"/>
          <w:sz w:val="24"/>
          <w:szCs w:val="24"/>
        </w:rPr>
        <w:t xml:space="preserve">Bacterial biofilms are increasingly recognised as the cause for persistent and destructive inflammatory processes (J. W. Costerton et al.,1999) . According to Donlan and Costerton (R. M. Donlan et al .,2002)biofilms are defined as “microbial derived sessile communities characterised by cells that are irreversibly attached to a substratum or interface or to each other, embedded in a matrix of extracellular polymeric substances that they have produced, and exhibit an altered phenotype with respect to growth rate and gene transcription.” It is </w:t>
      </w:r>
      <w:r w:rsidRPr="00001CC4">
        <w:rPr>
          <w:rFonts w:ascii="Calisto MT" w:hAnsi="Calisto MT" w:cs="Times New Roman"/>
          <w:sz w:val="24"/>
          <w:szCs w:val="24"/>
        </w:rPr>
        <w:lastRenderedPageBreak/>
        <w:t>generally assumed that bacteria in biofilms escape the host defence. In vitro data suggest that bacteria in biofilms as not as susceptible to the phagocytic effector functions as their planktonic living counterparts ( J. G. Leid et al .,2002)there is, however, no doubt that biofilms are not entirely protected (F. Günther et al .,2009)and that biofilm infection elicit an activation of the immune response with an infiltration into the infected site of leukocytes, predominantly of polymorphonuclear neutrophils (PMNs) and T lymphoc</w:t>
      </w:r>
      <w:r w:rsidR="009253DC">
        <w:rPr>
          <w:rFonts w:ascii="Calisto MT" w:hAnsi="Calisto MT" w:cs="Times New Roman"/>
          <w:sz w:val="24"/>
          <w:szCs w:val="24"/>
        </w:rPr>
        <w:t>ytes(F. Zimmermann et al .,2013)</w:t>
      </w:r>
    </w:p>
    <w:p w:rsidR="00F76292" w:rsidRPr="00001CC4" w:rsidRDefault="009253DC" w:rsidP="00001CC4">
      <w:pPr>
        <w:spacing w:line="360" w:lineRule="auto"/>
        <w:jc w:val="both"/>
        <w:rPr>
          <w:rFonts w:ascii="Calisto MT" w:hAnsi="Calisto MT" w:cs="Times New Roman"/>
          <w:sz w:val="24"/>
          <w:szCs w:val="24"/>
        </w:rPr>
      </w:pPr>
      <w:r>
        <w:rPr>
          <w:rFonts w:ascii="Calisto MT" w:hAnsi="Calisto MT" w:cs="Times New Roman"/>
          <w:sz w:val="24"/>
          <w:szCs w:val="24"/>
        </w:rPr>
        <w:t>T</w:t>
      </w:r>
      <w:r w:rsidR="00F76292" w:rsidRPr="00001CC4">
        <w:rPr>
          <w:rFonts w:ascii="Calisto MT" w:hAnsi="Calisto MT" w:cs="Times New Roman"/>
          <w:sz w:val="24"/>
          <w:szCs w:val="24"/>
        </w:rPr>
        <w:t>he participation of PMN in the defence against bacterial infection and in the acute inflammatory response is well understood, a role for T cells has not yet been delineated, nor is it known how T cells recognise bacteria. In that context, the aim of the present study was to analyse T cells of patients with persistent bacterial infections with regard to expression of activation-associated receptors on T cells, particularly of Toll-like receptors (TLRs) on. TLRs recognise conserved microbial structures including lipopolysaccharides (LPSs), lipoteichoic acid (LTA), lipopeptides, or bacterial DNA and RNA. As the so-called “pattern recognition receptors” TLRs are primarily studied on cells of the innate immune response; however, TLR are also detected on T cells, and a modulatory function of the specific, adaptive immune response via TLRs is presumed ( T. Imanishi et al .,2007).</w:t>
      </w:r>
    </w:p>
    <w:p w:rsidR="00F76292" w:rsidRPr="00001CC4" w:rsidRDefault="009F4846" w:rsidP="009253DC">
      <w:pPr>
        <w:spacing w:after="0" w:line="360" w:lineRule="auto"/>
        <w:jc w:val="both"/>
        <w:rPr>
          <w:rFonts w:ascii="Calisto MT" w:hAnsi="Calisto MT" w:cs="Times New Roman"/>
          <w:b/>
          <w:sz w:val="24"/>
          <w:szCs w:val="24"/>
        </w:rPr>
      </w:pPr>
      <w:r>
        <w:rPr>
          <w:rFonts w:ascii="Calisto MT" w:hAnsi="Calisto MT" w:cs="Times New Roman"/>
          <w:b/>
          <w:sz w:val="24"/>
          <w:szCs w:val="24"/>
        </w:rPr>
        <w:t xml:space="preserve">Introduction to </w:t>
      </w:r>
      <w:r w:rsidR="00F76292" w:rsidRPr="00001CC4">
        <w:rPr>
          <w:rFonts w:ascii="Calisto MT" w:hAnsi="Calisto MT" w:cs="Times New Roman"/>
          <w:b/>
          <w:sz w:val="24"/>
          <w:szCs w:val="24"/>
        </w:rPr>
        <w:t>Osteoathritis</w:t>
      </w:r>
    </w:p>
    <w:p w:rsidR="00F76292" w:rsidRPr="00001CC4" w:rsidRDefault="00F76292" w:rsidP="009253DC">
      <w:pPr>
        <w:spacing w:after="0" w:line="360" w:lineRule="auto"/>
        <w:jc w:val="both"/>
        <w:rPr>
          <w:rFonts w:ascii="Calisto MT" w:hAnsi="Calisto MT" w:cs="Times New Roman"/>
          <w:bCs/>
          <w:sz w:val="24"/>
          <w:szCs w:val="24"/>
        </w:rPr>
      </w:pPr>
      <w:r w:rsidRPr="00001CC4">
        <w:rPr>
          <w:rFonts w:ascii="Calisto MT" w:hAnsi="Calisto MT" w:cs="Times New Roman"/>
          <w:bCs/>
          <w:sz w:val="24"/>
          <w:szCs w:val="24"/>
        </w:rPr>
        <w:t>Osteoarthritis occurs when the cartilage that cushions the ends of bones in your joints gradually deteriorates. Cartilage is a firm, slippery tissue that enables nearly frictionless joint motion. Eventually, if the cartilage wears down completely, bone will rub on bone.</w:t>
      </w:r>
    </w:p>
    <w:p w:rsidR="00F76292" w:rsidRPr="00001CC4" w:rsidRDefault="00F76292" w:rsidP="009F4846">
      <w:pPr>
        <w:spacing w:after="0" w:line="360" w:lineRule="auto"/>
        <w:jc w:val="both"/>
        <w:rPr>
          <w:rFonts w:ascii="Calisto MT" w:hAnsi="Calisto MT" w:cs="Times New Roman"/>
          <w:bCs/>
          <w:sz w:val="24"/>
          <w:szCs w:val="24"/>
        </w:rPr>
      </w:pPr>
      <w:r w:rsidRPr="00001CC4">
        <w:rPr>
          <w:rFonts w:ascii="Calisto MT" w:hAnsi="Calisto MT" w:cs="Times New Roman"/>
          <w:bCs/>
          <w:sz w:val="24"/>
          <w:szCs w:val="24"/>
        </w:rPr>
        <w:t xml:space="preserve">Osteoarthritis is the most common form of arthritis, affecting millions of people worldwide. </w:t>
      </w:r>
    </w:p>
    <w:p w:rsidR="00F76292" w:rsidRPr="00001CC4" w:rsidRDefault="00F76292" w:rsidP="00001CC4">
      <w:pPr>
        <w:spacing w:line="360" w:lineRule="auto"/>
        <w:jc w:val="both"/>
        <w:rPr>
          <w:rFonts w:ascii="Calisto MT" w:hAnsi="Calisto MT" w:cs="Times New Roman"/>
          <w:bCs/>
          <w:sz w:val="24"/>
          <w:szCs w:val="24"/>
        </w:rPr>
      </w:pPr>
      <w:r w:rsidRPr="00001CC4">
        <w:rPr>
          <w:rFonts w:ascii="Calisto MT" w:hAnsi="Calisto MT" w:cs="Times New Roman"/>
          <w:bCs/>
          <w:sz w:val="24"/>
          <w:szCs w:val="24"/>
        </w:rPr>
        <w:t>It occurs when the protective cartilage that cushions the ends of your bones wears down over time.</w:t>
      </w:r>
      <w:r w:rsidR="009F4846">
        <w:rPr>
          <w:rFonts w:ascii="Calisto MT" w:hAnsi="Calisto MT" w:cs="Times New Roman"/>
          <w:bCs/>
          <w:sz w:val="24"/>
          <w:szCs w:val="24"/>
        </w:rPr>
        <w:t xml:space="preserve"> </w:t>
      </w:r>
      <w:r w:rsidRPr="00001CC4">
        <w:rPr>
          <w:rFonts w:ascii="Calisto MT" w:hAnsi="Calisto MT" w:cs="Times New Roman"/>
          <w:bCs/>
          <w:sz w:val="24"/>
          <w:szCs w:val="24"/>
        </w:rPr>
        <w:t>Although osteoarthritis can damage any joint, the disorder most commonly affects joints in your hands, knees, hips and spine.</w:t>
      </w:r>
    </w:p>
    <w:p w:rsidR="00F76292" w:rsidRPr="00001CC4" w:rsidRDefault="00F76292" w:rsidP="00001CC4">
      <w:pPr>
        <w:spacing w:line="360" w:lineRule="auto"/>
        <w:jc w:val="both"/>
        <w:rPr>
          <w:rFonts w:ascii="Calisto MT" w:hAnsi="Calisto MT" w:cs="Times New Roman"/>
          <w:b/>
          <w:bCs/>
          <w:sz w:val="24"/>
          <w:szCs w:val="24"/>
        </w:rPr>
      </w:pPr>
      <w:r w:rsidRPr="00001CC4">
        <w:rPr>
          <w:rFonts w:ascii="Calisto MT" w:hAnsi="Calisto MT" w:cs="Times New Roman"/>
          <w:b/>
          <w:bCs/>
          <w:sz w:val="24"/>
          <w:szCs w:val="24"/>
        </w:rPr>
        <w:t>Pathogenesis and Progression</w:t>
      </w:r>
    </w:p>
    <w:p w:rsidR="00F76292" w:rsidRPr="00001CC4" w:rsidRDefault="00F76292" w:rsidP="00001CC4">
      <w:pPr>
        <w:spacing w:line="360" w:lineRule="auto"/>
        <w:jc w:val="both"/>
        <w:rPr>
          <w:rFonts w:ascii="Calisto MT" w:hAnsi="Calisto MT" w:cs="Times New Roman"/>
          <w:sz w:val="24"/>
          <w:szCs w:val="24"/>
        </w:rPr>
      </w:pPr>
      <w:r w:rsidRPr="00001CC4">
        <w:rPr>
          <w:rFonts w:ascii="Calisto MT" w:hAnsi="Calisto MT" w:cs="Times New Roman"/>
          <w:sz w:val="24"/>
          <w:szCs w:val="24"/>
        </w:rPr>
        <w:t>Osteoarthritis is traditionally thought of as a ‘wear and tear’ disease which occurs as we age. However, recent research suggests otherwise.</w:t>
      </w:r>
    </w:p>
    <w:p w:rsidR="00F76292" w:rsidRPr="00001CC4" w:rsidRDefault="00F76292" w:rsidP="00001CC4">
      <w:pPr>
        <w:spacing w:line="360" w:lineRule="auto"/>
        <w:jc w:val="both"/>
        <w:rPr>
          <w:rFonts w:ascii="Calisto MT" w:hAnsi="Calisto MT" w:cs="Times New Roman"/>
          <w:sz w:val="24"/>
          <w:szCs w:val="24"/>
        </w:rPr>
      </w:pPr>
      <w:r w:rsidRPr="00001CC4">
        <w:rPr>
          <w:rFonts w:ascii="Calisto MT" w:hAnsi="Calisto MT" w:cs="Times New Roman"/>
          <w:sz w:val="24"/>
          <w:szCs w:val="24"/>
        </w:rPr>
        <w:lastRenderedPageBreak/>
        <w:t>The pathogenesis of OA involves a degradation of cartilage and remodelling of bone due to an active response of chondrocytes in the articular cartilage and the inflammatory cells in the surrounding tissues.</w:t>
      </w:r>
    </w:p>
    <w:p w:rsidR="00F76292" w:rsidRPr="00001CC4" w:rsidRDefault="00F76292" w:rsidP="00001CC4">
      <w:pPr>
        <w:spacing w:line="360" w:lineRule="auto"/>
        <w:jc w:val="both"/>
        <w:rPr>
          <w:rFonts w:ascii="Calisto MT" w:hAnsi="Calisto MT" w:cs="Times New Roman"/>
          <w:sz w:val="24"/>
          <w:szCs w:val="24"/>
        </w:rPr>
      </w:pPr>
      <w:r w:rsidRPr="00001CC4">
        <w:rPr>
          <w:rFonts w:ascii="Calisto MT" w:hAnsi="Calisto MT" w:cs="Times New Roman"/>
          <w:sz w:val="24"/>
          <w:szCs w:val="24"/>
        </w:rPr>
        <w:t>The </w:t>
      </w:r>
      <w:r w:rsidR="009F4846" w:rsidRPr="00001CC4">
        <w:rPr>
          <w:rFonts w:ascii="Calisto MT" w:hAnsi="Calisto MT" w:cs="Times New Roman"/>
          <w:sz w:val="24"/>
          <w:szCs w:val="24"/>
        </w:rPr>
        <w:t>release of enzymes from these cells breaks</w:t>
      </w:r>
      <w:r w:rsidRPr="00001CC4">
        <w:rPr>
          <w:rFonts w:ascii="Calisto MT" w:hAnsi="Calisto MT" w:cs="Times New Roman"/>
          <w:sz w:val="24"/>
          <w:szCs w:val="24"/>
        </w:rPr>
        <w:t xml:space="preserve"> down collagen and proteoglycans, destroying the articular cartilage. The exposure of the underlying subchondral bone results in sclerosis, followed by reactive remodelling changes that lead to the formation of osteophytes and subchondral bone cysts. The joint space is progressively lost over time.</w:t>
      </w:r>
    </w:p>
    <w:p w:rsidR="00F76292" w:rsidRPr="00001CC4" w:rsidRDefault="00F76292" w:rsidP="00001CC4">
      <w:pPr>
        <w:spacing w:line="360" w:lineRule="auto"/>
        <w:jc w:val="both"/>
        <w:rPr>
          <w:rFonts w:ascii="Calisto MT" w:hAnsi="Calisto MT" w:cs="Times New Roman"/>
          <w:sz w:val="24"/>
          <w:szCs w:val="24"/>
        </w:rPr>
      </w:pPr>
      <w:r w:rsidRPr="00001CC4">
        <w:rPr>
          <w:rFonts w:ascii="Calisto MT" w:hAnsi="Calisto MT" w:cs="Times New Roman"/>
          <w:sz w:val="24"/>
          <w:szCs w:val="24"/>
        </w:rPr>
        <w:t>Osteoarthritis (OA) results from an imbalance between breakdown and repair of the tissues in the synovial joints. Risk factors include trauma, overuse, obesity, and genetic predisposition. The etiopathogenesis of osteoarthritis has been divided into 3 stages.</w:t>
      </w:r>
    </w:p>
    <w:p w:rsidR="00F76292" w:rsidRPr="00001CC4" w:rsidRDefault="00F76292" w:rsidP="00001CC4">
      <w:pPr>
        <w:spacing w:line="360" w:lineRule="auto"/>
        <w:jc w:val="both"/>
        <w:rPr>
          <w:rFonts w:ascii="Calisto MT" w:hAnsi="Calisto MT" w:cs="Times New Roman"/>
          <w:sz w:val="24"/>
          <w:szCs w:val="24"/>
        </w:rPr>
      </w:pPr>
      <w:r w:rsidRPr="00001CC4">
        <w:rPr>
          <w:rFonts w:ascii="Calisto MT" w:hAnsi="Calisto MT" w:cs="Times New Roman"/>
          <w:sz w:val="24"/>
          <w:szCs w:val="24"/>
        </w:rPr>
        <w:t>In stage 1, proteolytic breakdown of the cartilage matrix occurs. Chondrocyte metabolism is affected, leading to an increased production of enzymes, which includes metalloproteinases (eg, collagenase, stromelysin) that destroy the cartilage matrix. Chondrocytes also produce protease inhibitors, including tissue inhibitors of metalloproteinases (TIMP) 1 and 2, but in amounts insufficient to counteract the proteolytic effect.</w:t>
      </w:r>
    </w:p>
    <w:p w:rsidR="00F76292" w:rsidRPr="00001CC4" w:rsidRDefault="00F76292" w:rsidP="00001CC4">
      <w:pPr>
        <w:spacing w:line="360" w:lineRule="auto"/>
        <w:jc w:val="both"/>
        <w:rPr>
          <w:rFonts w:ascii="Calisto MT" w:hAnsi="Calisto MT" w:cs="Times New Roman"/>
          <w:sz w:val="24"/>
          <w:szCs w:val="24"/>
        </w:rPr>
      </w:pPr>
      <w:r w:rsidRPr="00001CC4">
        <w:rPr>
          <w:rFonts w:ascii="Calisto MT" w:hAnsi="Calisto MT" w:cs="Times New Roman"/>
          <w:sz w:val="24"/>
          <w:szCs w:val="24"/>
        </w:rPr>
        <w:t>Stage 2 involves the fibrillation and erosion of the cartilage surface, with a subsequent release of proteoglycan and collagen fragments into the synovial fluid.</w:t>
      </w:r>
    </w:p>
    <w:p w:rsidR="00F76292" w:rsidRPr="00001CC4" w:rsidRDefault="00F76292" w:rsidP="00001CC4">
      <w:pPr>
        <w:spacing w:line="360" w:lineRule="auto"/>
        <w:jc w:val="both"/>
        <w:rPr>
          <w:rFonts w:ascii="Calisto MT" w:hAnsi="Calisto MT" w:cs="Times New Roman"/>
          <w:sz w:val="24"/>
          <w:szCs w:val="24"/>
        </w:rPr>
      </w:pPr>
      <w:r w:rsidRPr="00001CC4">
        <w:rPr>
          <w:rFonts w:ascii="Calisto MT" w:hAnsi="Calisto MT" w:cs="Times New Roman"/>
          <w:sz w:val="24"/>
          <w:szCs w:val="24"/>
        </w:rPr>
        <w:t>In stage 3, the breakdown products of cartilage induce a chronic inflammatory response in the synovium. Synovial macrophage production of metalloproteinases, as well as cytokines such as interleukin (IL) 1, tumor necrosis factor (TNF)-alpha, occurs. These can diffuse back into the cartilage and directly destroy tissue or stimulate chondrocytes to produce more metalloproteinases. Other proinflammatory molecules (eg, nitric oxide [NO], an inorganic free radical) may also be a factor in stage 3.</w:t>
      </w:r>
    </w:p>
    <w:p w:rsidR="00F76292" w:rsidRPr="00001CC4" w:rsidRDefault="00F76292" w:rsidP="00001CC4">
      <w:pPr>
        <w:spacing w:line="360" w:lineRule="auto"/>
        <w:jc w:val="both"/>
        <w:rPr>
          <w:rFonts w:ascii="Calisto MT" w:hAnsi="Calisto MT" w:cs="Times New Roman"/>
          <w:b/>
          <w:bCs/>
          <w:sz w:val="24"/>
          <w:szCs w:val="24"/>
        </w:rPr>
      </w:pPr>
      <w:r w:rsidRPr="00001CC4">
        <w:rPr>
          <w:rFonts w:ascii="Calisto MT" w:hAnsi="Calisto MT" w:cs="Times New Roman"/>
          <w:b/>
          <w:bCs/>
          <w:sz w:val="24"/>
          <w:szCs w:val="24"/>
        </w:rPr>
        <w:t>The involvement of T and B Lymphocytes</w:t>
      </w:r>
    </w:p>
    <w:p w:rsidR="00F76292" w:rsidRPr="00001CC4" w:rsidRDefault="00F76292" w:rsidP="00001CC4">
      <w:pPr>
        <w:spacing w:line="360" w:lineRule="auto"/>
        <w:jc w:val="both"/>
        <w:rPr>
          <w:rFonts w:ascii="Calisto MT" w:hAnsi="Calisto MT" w:cs="Times New Roman"/>
          <w:sz w:val="24"/>
          <w:szCs w:val="24"/>
        </w:rPr>
      </w:pPr>
      <w:r w:rsidRPr="00001CC4">
        <w:rPr>
          <w:rFonts w:ascii="Calisto MT" w:hAnsi="Calisto MT" w:cs="Times New Roman"/>
          <w:sz w:val="24"/>
          <w:szCs w:val="24"/>
        </w:rPr>
        <w:t>Activate</w:t>
      </w:r>
      <w:r w:rsidR="009F4846">
        <w:rPr>
          <w:rFonts w:ascii="Calisto MT" w:hAnsi="Calisto MT" w:cs="Times New Roman"/>
          <w:sz w:val="24"/>
          <w:szCs w:val="24"/>
        </w:rPr>
        <w:t>d T cells are known to enhance o</w:t>
      </w:r>
      <w:r w:rsidRPr="00001CC4">
        <w:rPr>
          <w:rFonts w:ascii="Calisto MT" w:hAnsi="Calisto MT" w:cs="Times New Roman"/>
          <w:sz w:val="24"/>
          <w:szCs w:val="24"/>
        </w:rPr>
        <w:t xml:space="preserve">steoclastogenesis and bone resorption. Because CD28 is expressed constitutively on T cells and its expression is down-regulated by chronic exposure to the inflammatory environment, we characterized co-stimulatory molecule expression on T cells from chronically infected patients. Cytofluorometric techniques are </w:t>
      </w:r>
      <w:r w:rsidRPr="00001CC4">
        <w:rPr>
          <w:rFonts w:ascii="Calisto MT" w:hAnsi="Calisto MT" w:cs="Times New Roman"/>
          <w:sz w:val="24"/>
          <w:szCs w:val="24"/>
        </w:rPr>
        <w:lastRenderedPageBreak/>
        <w:t>used to phenotypically characterize T cells, its co-stimulatory molecules and perforin secretion from infected and non-infected human bones. A higher T cell activation [human leucocyte antigen D-related (HLA-DR+)] is shown in infected compared to non-infected bones. Chronically infected human bones are characterized by an increase of CD28-negative CD4+ T cells, indicating long-term activated cells with cytotoxic ability. Therefore, this alteration of co-stimulatory molecules may modify interactions with osteoclasts and impact bone resorption.</w:t>
      </w:r>
    </w:p>
    <w:p w:rsidR="00F76292" w:rsidRPr="00001CC4" w:rsidRDefault="00F76292" w:rsidP="00001CC4">
      <w:pPr>
        <w:spacing w:line="360" w:lineRule="auto"/>
        <w:jc w:val="both"/>
        <w:rPr>
          <w:rFonts w:ascii="Calisto MT" w:hAnsi="Calisto MT" w:cs="Times New Roman"/>
          <w:sz w:val="24"/>
          <w:szCs w:val="24"/>
        </w:rPr>
      </w:pPr>
      <w:r w:rsidRPr="00001CC4">
        <w:rPr>
          <w:rFonts w:ascii="Calisto MT" w:hAnsi="Calisto MT" w:cs="Times New Roman"/>
          <w:sz w:val="24"/>
          <w:szCs w:val="24"/>
        </w:rPr>
        <w:t xml:space="preserve">B cells not only participate in proinflamatory </w:t>
      </w:r>
      <w:r w:rsidR="009F4846" w:rsidRPr="00001CC4">
        <w:rPr>
          <w:rFonts w:ascii="Calisto MT" w:hAnsi="Calisto MT" w:cs="Times New Roman"/>
          <w:sz w:val="24"/>
          <w:szCs w:val="24"/>
        </w:rPr>
        <w:t>reactions. They</w:t>
      </w:r>
      <w:r w:rsidRPr="00001CC4">
        <w:rPr>
          <w:rFonts w:ascii="Calisto MT" w:hAnsi="Calisto MT" w:cs="Times New Roman"/>
          <w:sz w:val="24"/>
          <w:szCs w:val="24"/>
        </w:rPr>
        <w:t xml:space="preserve"> also play a role in regulation of immune responses. Regulatory B (Breg) cells are specific subsets that have an ability of immune response suppression.</w:t>
      </w:r>
      <w:r w:rsidR="009F4846">
        <w:rPr>
          <w:rFonts w:ascii="Calisto MT" w:hAnsi="Calisto MT" w:cs="Times New Roman"/>
          <w:sz w:val="24"/>
          <w:szCs w:val="24"/>
        </w:rPr>
        <w:t xml:space="preserve"> </w:t>
      </w:r>
      <w:r w:rsidRPr="00001CC4">
        <w:rPr>
          <w:rFonts w:ascii="Calisto MT" w:hAnsi="Calisto MT" w:cs="Times New Roman"/>
          <w:sz w:val="24"/>
          <w:szCs w:val="24"/>
        </w:rPr>
        <w:t>They contribute to maintenance of peripheral tolerance and inhibition of immune reaction to specific self-antigens, mainly by producing of</w:t>
      </w:r>
    </w:p>
    <w:p w:rsidR="00F76292" w:rsidRPr="00001CC4" w:rsidRDefault="00F76292" w:rsidP="009F4846">
      <w:pPr>
        <w:spacing w:after="0" w:line="360" w:lineRule="auto"/>
        <w:jc w:val="both"/>
        <w:rPr>
          <w:rFonts w:ascii="Calisto MT" w:hAnsi="Calisto MT" w:cs="Times New Roman"/>
          <w:sz w:val="24"/>
          <w:szCs w:val="24"/>
        </w:rPr>
      </w:pPr>
      <w:r w:rsidRPr="00001CC4">
        <w:rPr>
          <w:rFonts w:ascii="Calisto MT" w:hAnsi="Calisto MT" w:cs="Times New Roman"/>
          <w:sz w:val="24"/>
          <w:szCs w:val="24"/>
        </w:rPr>
        <w:t>interleukin-10 (IL-10) but also by transforming growth factor (TGF-</w:t>
      </w:r>
      <w:r w:rsidRPr="00001CC4">
        <w:rPr>
          <w:rFonts w:ascii="Times New Roman" w:hAnsi="Times New Roman" w:cs="Times New Roman"/>
          <w:sz w:val="24"/>
          <w:szCs w:val="24"/>
        </w:rPr>
        <w:t>β</w:t>
      </w:r>
      <w:r w:rsidRPr="00001CC4">
        <w:rPr>
          <w:rFonts w:ascii="Calisto MT" w:hAnsi="Calisto MT" w:cs="Times New Roman"/>
          <w:sz w:val="24"/>
          <w:szCs w:val="24"/>
        </w:rPr>
        <w:t xml:space="preserve">), Fas ligand, and expressing of TNF-related apoptosis-inducing ligand (TRAIL) </w:t>
      </w:r>
    </w:p>
    <w:p w:rsidR="00F76292" w:rsidRPr="00001CC4" w:rsidRDefault="00F76292" w:rsidP="009F4846">
      <w:pPr>
        <w:spacing w:after="0" w:line="360" w:lineRule="auto"/>
        <w:jc w:val="both"/>
        <w:rPr>
          <w:rFonts w:ascii="Calisto MT" w:hAnsi="Calisto MT" w:cs="Times New Roman"/>
          <w:sz w:val="24"/>
          <w:szCs w:val="24"/>
        </w:rPr>
      </w:pPr>
      <w:r w:rsidRPr="00001CC4">
        <w:rPr>
          <w:rFonts w:ascii="Calisto MT" w:hAnsi="Calisto MT" w:cs="Times New Roman"/>
          <w:sz w:val="24"/>
          <w:szCs w:val="24"/>
        </w:rPr>
        <w:t>Breg cells are important in preventing the disease onset and also in sup-pressing t</w:t>
      </w:r>
      <w:r w:rsidR="009F4846">
        <w:rPr>
          <w:rFonts w:ascii="Calisto MT" w:hAnsi="Calisto MT" w:cs="Times New Roman"/>
          <w:sz w:val="24"/>
          <w:szCs w:val="24"/>
        </w:rPr>
        <w:t xml:space="preserve">he disease symptoms. Primarily, </w:t>
      </w:r>
      <w:r w:rsidRPr="00001CC4">
        <w:rPr>
          <w:rFonts w:ascii="Calisto MT" w:hAnsi="Calisto MT" w:cs="Times New Roman"/>
          <w:sz w:val="24"/>
          <w:szCs w:val="24"/>
        </w:rPr>
        <w:t>Breg cells are</w:t>
      </w:r>
      <w:r w:rsidR="009F4846">
        <w:rPr>
          <w:rFonts w:ascii="Calisto MT" w:hAnsi="Calisto MT" w:cs="Times New Roman"/>
          <w:sz w:val="24"/>
          <w:szCs w:val="24"/>
        </w:rPr>
        <w:t xml:space="preserve"> </w:t>
      </w:r>
      <w:r w:rsidRPr="00001CC4">
        <w:rPr>
          <w:rFonts w:ascii="Calisto MT" w:hAnsi="Calisto MT" w:cs="Times New Roman"/>
          <w:sz w:val="24"/>
          <w:szCs w:val="24"/>
        </w:rPr>
        <w:t>able to change T cell differentiation in behalf of a regulatory phenotype</w:t>
      </w:r>
      <w:r w:rsidR="009F4846">
        <w:rPr>
          <w:rFonts w:ascii="Calisto MT" w:hAnsi="Calisto MT" w:cs="Times New Roman"/>
          <w:sz w:val="24"/>
          <w:szCs w:val="24"/>
        </w:rPr>
        <w:t>.</w:t>
      </w:r>
    </w:p>
    <w:p w:rsidR="00F76292" w:rsidRPr="00001CC4" w:rsidRDefault="00F76292" w:rsidP="009F4846">
      <w:pPr>
        <w:spacing w:after="0" w:line="360" w:lineRule="auto"/>
        <w:jc w:val="both"/>
        <w:rPr>
          <w:rFonts w:ascii="Calisto MT" w:hAnsi="Calisto MT" w:cs="Times New Roman"/>
          <w:sz w:val="24"/>
          <w:szCs w:val="24"/>
        </w:rPr>
      </w:pPr>
      <w:r w:rsidRPr="00001CC4">
        <w:rPr>
          <w:rFonts w:ascii="Calisto MT" w:hAnsi="Calisto MT" w:cs="Times New Roman"/>
          <w:sz w:val="24"/>
          <w:szCs w:val="24"/>
        </w:rPr>
        <w:t xml:space="preserve"> In conclusion, bone tissue in humans appears to be a site of T cell activation and proliferation, the latter being decreased in chronic bacterial infections. Bone infections are associated with a high percentage of CD28</w:t>
      </w:r>
      <w:r w:rsidRPr="00001CC4">
        <w:rPr>
          <w:rFonts w:ascii="Times New Roman" w:hAnsi="Times New Roman" w:cs="Times New Roman"/>
          <w:sz w:val="24"/>
          <w:szCs w:val="24"/>
        </w:rPr>
        <w:t>−</w:t>
      </w:r>
      <w:r w:rsidRPr="00001CC4">
        <w:rPr>
          <w:rFonts w:ascii="Calisto MT" w:hAnsi="Calisto MT" w:cs="Calisto MT"/>
          <w:sz w:val="24"/>
          <w:szCs w:val="24"/>
        </w:rPr>
        <w:t> </w:t>
      </w:r>
      <w:r w:rsidRPr="00001CC4">
        <w:rPr>
          <w:rFonts w:ascii="Calisto MT" w:hAnsi="Calisto MT" w:cs="Times New Roman"/>
          <w:sz w:val="24"/>
          <w:szCs w:val="24"/>
        </w:rPr>
        <w:t>CD4 T cells exhibiting a cytotoxic phenotype as well as an up-regulated CD40/CD40L pathway on T cells. As activated T cells are already known to express RANKL, which is a crucial fac</w:t>
      </w:r>
      <w:r w:rsidR="00365E20">
        <w:rPr>
          <w:rFonts w:ascii="Calisto MT" w:hAnsi="Calisto MT" w:cs="Times New Roman"/>
          <w:sz w:val="24"/>
          <w:szCs w:val="24"/>
        </w:rPr>
        <w:t xml:space="preserve">tor for osteoclastogenesis, the </w:t>
      </w:r>
      <w:r w:rsidRPr="00001CC4">
        <w:rPr>
          <w:rFonts w:ascii="Calisto MT" w:hAnsi="Calisto MT" w:cs="Times New Roman"/>
          <w:sz w:val="24"/>
          <w:szCs w:val="24"/>
        </w:rPr>
        <w:t>results suggest a creative line of work on the mechanisms of bone resorption in human BI. Moreover, biotherapies</w:t>
      </w:r>
      <w:r w:rsidR="00365E20">
        <w:rPr>
          <w:rFonts w:ascii="Calisto MT" w:hAnsi="Calisto MT" w:cs="Times New Roman"/>
          <w:sz w:val="24"/>
          <w:szCs w:val="24"/>
        </w:rPr>
        <w:t xml:space="preserve"> assume </w:t>
      </w:r>
      <w:r w:rsidRPr="00001CC4">
        <w:rPr>
          <w:rFonts w:ascii="Calisto MT" w:hAnsi="Calisto MT" w:cs="Times New Roman"/>
          <w:sz w:val="24"/>
          <w:szCs w:val="24"/>
        </w:rPr>
        <w:t>targeting co-stimulatory molecules might have significant but variable effects on bone resorption, depending on their membrane expression.</w:t>
      </w:r>
    </w:p>
    <w:p w:rsidR="00F76292" w:rsidRPr="00001CC4" w:rsidRDefault="00F76292" w:rsidP="00001CC4">
      <w:pPr>
        <w:spacing w:line="360" w:lineRule="auto"/>
        <w:jc w:val="both"/>
        <w:rPr>
          <w:rFonts w:ascii="Calisto MT" w:hAnsi="Calisto MT" w:cs="Times New Roman"/>
          <w:sz w:val="24"/>
          <w:szCs w:val="24"/>
        </w:rPr>
      </w:pPr>
    </w:p>
    <w:p w:rsidR="00F76292" w:rsidRPr="00001CC4" w:rsidRDefault="00F76292" w:rsidP="00001CC4">
      <w:pPr>
        <w:spacing w:line="360" w:lineRule="auto"/>
        <w:jc w:val="both"/>
        <w:rPr>
          <w:rFonts w:ascii="Calisto MT" w:hAnsi="Calisto MT" w:cs="Times New Roman"/>
          <w:sz w:val="24"/>
          <w:szCs w:val="24"/>
        </w:rPr>
      </w:pPr>
    </w:p>
    <w:p w:rsidR="009F4846" w:rsidRDefault="009F4846" w:rsidP="00001CC4">
      <w:pPr>
        <w:spacing w:line="360" w:lineRule="auto"/>
        <w:jc w:val="both"/>
        <w:rPr>
          <w:rFonts w:ascii="Calisto MT" w:hAnsi="Calisto MT" w:cs="Times New Roman"/>
          <w:b/>
          <w:bCs/>
          <w:sz w:val="24"/>
          <w:szCs w:val="24"/>
        </w:rPr>
      </w:pPr>
    </w:p>
    <w:p w:rsidR="00F42B24" w:rsidRDefault="00F42B24" w:rsidP="00001CC4">
      <w:pPr>
        <w:spacing w:line="360" w:lineRule="auto"/>
        <w:jc w:val="both"/>
        <w:rPr>
          <w:rFonts w:ascii="Calisto MT" w:hAnsi="Calisto MT" w:cs="Times New Roman"/>
          <w:b/>
          <w:bCs/>
          <w:sz w:val="24"/>
          <w:szCs w:val="24"/>
        </w:rPr>
      </w:pPr>
    </w:p>
    <w:p w:rsidR="00F76292" w:rsidRDefault="00F76292" w:rsidP="00001CC4">
      <w:pPr>
        <w:spacing w:line="360" w:lineRule="auto"/>
        <w:jc w:val="both"/>
        <w:rPr>
          <w:rFonts w:ascii="Calisto MT" w:hAnsi="Calisto MT" w:cs="Times New Roman"/>
          <w:b/>
          <w:bCs/>
          <w:sz w:val="24"/>
          <w:szCs w:val="24"/>
        </w:rPr>
      </w:pPr>
      <w:r w:rsidRPr="00001CC4">
        <w:rPr>
          <w:rFonts w:ascii="Calisto MT" w:hAnsi="Calisto MT" w:cs="Times New Roman"/>
          <w:b/>
          <w:bCs/>
          <w:sz w:val="24"/>
          <w:szCs w:val="24"/>
        </w:rPr>
        <w:lastRenderedPageBreak/>
        <w:t xml:space="preserve">References </w:t>
      </w:r>
    </w:p>
    <w:p w:rsidR="00220C62" w:rsidRPr="00365E20" w:rsidRDefault="00F42B24" w:rsidP="00220C62">
      <w:pPr>
        <w:spacing w:after="0" w:line="240" w:lineRule="auto"/>
        <w:ind w:left="720" w:hanging="720"/>
        <w:jc w:val="both"/>
        <w:rPr>
          <w:rFonts w:ascii="Calisto MT" w:hAnsi="Calisto MT"/>
          <w:sz w:val="24"/>
          <w:szCs w:val="24"/>
        </w:rPr>
      </w:pPr>
      <w:r w:rsidRPr="00365E20">
        <w:rPr>
          <w:rFonts w:ascii="Calisto MT" w:hAnsi="Calisto MT"/>
          <w:sz w:val="24"/>
          <w:szCs w:val="24"/>
        </w:rPr>
        <w:t xml:space="preserve">A. Iwasaki and R. Medzhitov,(2004) “Toll-like receptors control the adaptive immune response,” Nature Immunology, vol. 5, pp. 987–995, </w:t>
      </w:r>
    </w:p>
    <w:p w:rsidR="00F42B24" w:rsidRPr="00365E20" w:rsidRDefault="00F42B24" w:rsidP="00220C62">
      <w:pPr>
        <w:spacing w:after="0" w:line="240" w:lineRule="auto"/>
        <w:ind w:left="720" w:hanging="720"/>
        <w:jc w:val="both"/>
        <w:rPr>
          <w:rFonts w:ascii="Calisto MT" w:hAnsi="Calisto MT"/>
          <w:sz w:val="24"/>
          <w:szCs w:val="24"/>
        </w:rPr>
      </w:pPr>
      <w:r w:rsidRPr="00365E20">
        <w:rPr>
          <w:rFonts w:ascii="Calisto MT" w:hAnsi="Calisto MT"/>
          <w:sz w:val="24"/>
          <w:szCs w:val="24"/>
        </w:rPr>
        <w:t xml:space="preserve">A. J. Jesaitis, M. J. Franklin, D. Berglund et al., (2002) “Compromised host defense on Pseudomonas aerugionsa biofilms: characterisation of neutrophil and biofilm interactions,” Journal of Immunology, vol. 171, pp. 4329–4339. </w:t>
      </w:r>
    </w:p>
    <w:p w:rsidR="00F42B24" w:rsidRPr="00365E20" w:rsidRDefault="00F42B24" w:rsidP="00220C62">
      <w:pPr>
        <w:spacing w:after="0" w:line="240" w:lineRule="auto"/>
        <w:ind w:left="720" w:hanging="720"/>
        <w:rPr>
          <w:rFonts w:ascii="Calisto MT" w:hAnsi="Calisto MT"/>
          <w:sz w:val="24"/>
          <w:szCs w:val="24"/>
        </w:rPr>
      </w:pPr>
      <w:r w:rsidRPr="00365E20">
        <w:rPr>
          <w:rFonts w:ascii="Calisto MT" w:hAnsi="Calisto MT" w:cs="Arial"/>
          <w:color w:val="222222"/>
          <w:sz w:val="24"/>
          <w:szCs w:val="24"/>
          <w:shd w:val="clear" w:color="auto" w:fill="FFFFFF"/>
        </w:rPr>
        <w:t>Bhowmik, D., Bhanot, R., Gautam, D., Rai, P., &amp; Kumar, K. P. (2018). Osteomyelitis-Symptoms, Causes and Treatment. </w:t>
      </w:r>
      <w:r w:rsidRPr="00365E20">
        <w:rPr>
          <w:rFonts w:ascii="Calisto MT" w:hAnsi="Calisto MT" w:cs="Arial"/>
          <w:i/>
          <w:iCs/>
          <w:color w:val="222222"/>
          <w:sz w:val="24"/>
          <w:szCs w:val="24"/>
          <w:shd w:val="clear" w:color="auto" w:fill="FFFFFF"/>
        </w:rPr>
        <w:t>Research Journal of Science and Technology</w:t>
      </w:r>
      <w:r w:rsidRPr="00365E20">
        <w:rPr>
          <w:rFonts w:ascii="Calisto MT" w:hAnsi="Calisto MT" w:cs="Arial"/>
          <w:color w:val="222222"/>
          <w:sz w:val="24"/>
          <w:szCs w:val="24"/>
          <w:shd w:val="clear" w:color="auto" w:fill="FFFFFF"/>
        </w:rPr>
        <w:t>, </w:t>
      </w:r>
      <w:r w:rsidRPr="00365E20">
        <w:rPr>
          <w:rFonts w:ascii="Calisto MT" w:hAnsi="Calisto MT" w:cs="Arial"/>
          <w:i/>
          <w:iCs/>
          <w:color w:val="222222"/>
          <w:sz w:val="24"/>
          <w:szCs w:val="24"/>
          <w:shd w:val="clear" w:color="auto" w:fill="FFFFFF"/>
        </w:rPr>
        <w:t>10</w:t>
      </w:r>
      <w:r w:rsidRPr="00365E20">
        <w:rPr>
          <w:rFonts w:ascii="Calisto MT" w:hAnsi="Calisto MT" w:cs="Arial"/>
          <w:color w:val="222222"/>
          <w:sz w:val="24"/>
          <w:szCs w:val="24"/>
          <w:shd w:val="clear" w:color="auto" w:fill="FFFFFF"/>
        </w:rPr>
        <w:t>(2), 165-177.</w:t>
      </w:r>
    </w:p>
    <w:p w:rsidR="00F42B24" w:rsidRPr="00365E20" w:rsidRDefault="00F42B24" w:rsidP="00220C62">
      <w:pPr>
        <w:spacing w:after="0" w:line="240" w:lineRule="auto"/>
        <w:ind w:left="720" w:hanging="720"/>
        <w:jc w:val="both"/>
        <w:rPr>
          <w:rFonts w:ascii="Calisto MT" w:hAnsi="Calisto MT"/>
          <w:sz w:val="24"/>
          <w:szCs w:val="24"/>
        </w:rPr>
      </w:pPr>
      <w:r w:rsidRPr="00365E20">
        <w:rPr>
          <w:rFonts w:ascii="Calisto MT" w:hAnsi="Calisto MT"/>
          <w:sz w:val="24"/>
          <w:szCs w:val="24"/>
        </w:rPr>
        <w:t>C. Wagner, A. Kaksa, W. Müller (2004)., “Polymorphonuclear neutrophils in posttraumatic osteomyelitis: cells recovered from the inflamed site lack chemotactic activity but generate superoxides,” Shock, vol. 22, no. 2, pp. 108–115.</w:t>
      </w:r>
    </w:p>
    <w:p w:rsidR="00F42B24" w:rsidRPr="00365E20" w:rsidRDefault="00F42B24" w:rsidP="00220C62">
      <w:pPr>
        <w:spacing w:after="0" w:line="240" w:lineRule="auto"/>
        <w:ind w:left="720" w:hanging="720"/>
        <w:jc w:val="both"/>
        <w:rPr>
          <w:rFonts w:ascii="Calisto MT" w:hAnsi="Calisto MT"/>
          <w:sz w:val="24"/>
          <w:szCs w:val="24"/>
        </w:rPr>
      </w:pPr>
      <w:r w:rsidRPr="00365E20">
        <w:rPr>
          <w:rFonts w:ascii="Calisto MT" w:hAnsi="Calisto MT"/>
          <w:sz w:val="24"/>
          <w:szCs w:val="24"/>
        </w:rPr>
        <w:t>C. Wagner, D. Heck, K. Lautenschläger et al.,(2006) “T lymphocytes in implant-associated posttraumatic osteomyelitis: identification of cytotoxic T effector cells at the site of infection,” Shock, vol. 25, no. 3, pp. 241–246.</w:t>
      </w:r>
    </w:p>
    <w:p w:rsidR="00F42B24" w:rsidRPr="00365E20" w:rsidRDefault="00F42B24" w:rsidP="00220C62">
      <w:pPr>
        <w:spacing w:after="0" w:line="240" w:lineRule="auto"/>
        <w:ind w:left="720" w:hanging="720"/>
        <w:rPr>
          <w:rFonts w:ascii="Calisto MT" w:hAnsi="Calisto MT"/>
          <w:sz w:val="24"/>
          <w:szCs w:val="24"/>
        </w:rPr>
      </w:pPr>
      <w:r w:rsidRPr="00365E20">
        <w:rPr>
          <w:rFonts w:ascii="Calisto MT" w:hAnsi="Calisto MT" w:cs="Arial"/>
          <w:color w:val="222222"/>
          <w:sz w:val="24"/>
          <w:szCs w:val="24"/>
          <w:shd w:val="clear" w:color="auto" w:fill="FFFFFF"/>
        </w:rPr>
        <w:t>Cano, R. L. E., &amp; Lopera, H. D. E. (2013). Introduction to T and B lymphocytes. In </w:t>
      </w:r>
      <w:r w:rsidRPr="00365E20">
        <w:rPr>
          <w:rFonts w:ascii="Calisto MT" w:hAnsi="Calisto MT" w:cs="Arial"/>
          <w:i/>
          <w:iCs/>
          <w:color w:val="222222"/>
          <w:sz w:val="24"/>
          <w:szCs w:val="24"/>
          <w:shd w:val="clear" w:color="auto" w:fill="FFFFFF"/>
        </w:rPr>
        <w:t>Autoimmunity: From Bench to Bedside [Internet]</w:t>
      </w:r>
      <w:r w:rsidRPr="00365E20">
        <w:rPr>
          <w:rFonts w:ascii="Calisto MT" w:hAnsi="Calisto MT" w:cs="Arial"/>
          <w:color w:val="222222"/>
          <w:sz w:val="24"/>
          <w:szCs w:val="24"/>
          <w:shd w:val="clear" w:color="auto" w:fill="FFFFFF"/>
        </w:rPr>
        <w:t>. El Rosario University Press.</w:t>
      </w:r>
    </w:p>
    <w:p w:rsidR="00F42B24" w:rsidRPr="00365E20" w:rsidRDefault="00F42B24" w:rsidP="00220C62">
      <w:pPr>
        <w:spacing w:after="0" w:line="240" w:lineRule="auto"/>
        <w:ind w:left="720" w:hanging="720"/>
        <w:jc w:val="both"/>
        <w:rPr>
          <w:rFonts w:ascii="Calisto MT" w:hAnsi="Calisto MT"/>
          <w:sz w:val="24"/>
          <w:szCs w:val="24"/>
        </w:rPr>
      </w:pPr>
      <w:r w:rsidRPr="00365E20">
        <w:rPr>
          <w:rFonts w:ascii="Calisto MT" w:hAnsi="Calisto MT"/>
          <w:sz w:val="24"/>
          <w:szCs w:val="24"/>
        </w:rPr>
        <w:t>D. Kabelitz, “Expression and function of Toll-like receptors on T lymphocytes,(2007) Current Opinion in Immunology, vol. 19, pp. 39–45.</w:t>
      </w:r>
    </w:p>
    <w:p w:rsidR="00F42B24" w:rsidRPr="00365E20" w:rsidRDefault="00F42B24" w:rsidP="00220C62">
      <w:pPr>
        <w:spacing w:after="0" w:line="240" w:lineRule="auto"/>
        <w:ind w:left="720" w:hanging="720"/>
        <w:jc w:val="both"/>
        <w:rPr>
          <w:rFonts w:ascii="Calisto MT" w:hAnsi="Calisto MT"/>
          <w:sz w:val="24"/>
          <w:szCs w:val="24"/>
        </w:rPr>
      </w:pPr>
      <w:r w:rsidRPr="00365E20">
        <w:rPr>
          <w:rFonts w:ascii="Calisto MT" w:hAnsi="Calisto MT"/>
          <w:sz w:val="24"/>
          <w:szCs w:val="24"/>
        </w:rPr>
        <w:t xml:space="preserve">Edwards MS, et.al, (1978). An etiologic shift in infantile osteomyelitis: the emergence of the group B streptococcus. J. Pediatr. 93:578. </w:t>
      </w:r>
    </w:p>
    <w:p w:rsidR="00F42B24" w:rsidRPr="00365E20" w:rsidRDefault="00F42B24" w:rsidP="00220C62">
      <w:pPr>
        <w:spacing w:after="0" w:line="240" w:lineRule="auto"/>
        <w:ind w:left="720" w:hanging="720"/>
        <w:jc w:val="both"/>
        <w:rPr>
          <w:rFonts w:ascii="Calisto MT" w:hAnsi="Calisto MT"/>
          <w:sz w:val="24"/>
          <w:szCs w:val="24"/>
        </w:rPr>
      </w:pPr>
      <w:r w:rsidRPr="00365E20">
        <w:rPr>
          <w:rFonts w:ascii="Calisto MT" w:hAnsi="Calisto MT"/>
          <w:sz w:val="24"/>
          <w:szCs w:val="24"/>
        </w:rPr>
        <w:t xml:space="preserve">F. Günther, G. H. Wabnitz, P. Stroh et al.(2009), “Host defence against Staphylococcus aureus biofilms infection: phagocytosis of biofilms by polymorphonuclear neutrophils (PMN),” Molecular Immunology, vol. 46, pp. 1805–1813, </w:t>
      </w:r>
    </w:p>
    <w:p w:rsidR="00F42B24" w:rsidRPr="00365E20" w:rsidRDefault="00F42B24" w:rsidP="00220C62">
      <w:pPr>
        <w:spacing w:after="0" w:line="240" w:lineRule="auto"/>
        <w:ind w:left="720" w:hanging="720"/>
        <w:jc w:val="both"/>
        <w:rPr>
          <w:rFonts w:ascii="Calisto MT" w:hAnsi="Calisto MT"/>
          <w:sz w:val="24"/>
          <w:szCs w:val="24"/>
        </w:rPr>
      </w:pPr>
      <w:r w:rsidRPr="00365E20">
        <w:rPr>
          <w:rFonts w:ascii="Calisto MT" w:hAnsi="Calisto MT"/>
          <w:sz w:val="24"/>
          <w:szCs w:val="24"/>
        </w:rPr>
        <w:t>F. Zimmermann, K. Lautenschläger, V. Heppert, A. Wentzensen, G. M. Haänsch, and C. Wagner(2005), “Expression of elastase on polymorphonuclear neutrophils in vitro and in vivo: identification of CD11b as ligand for the surface-bound elastase,” Shock, vol. 23, no. 3, pp. 216–223.</w:t>
      </w:r>
    </w:p>
    <w:p w:rsidR="00F42B24" w:rsidRPr="00365E20" w:rsidRDefault="00F42B24" w:rsidP="00220C62">
      <w:pPr>
        <w:spacing w:after="0" w:line="240" w:lineRule="auto"/>
        <w:ind w:left="720" w:hanging="720"/>
        <w:rPr>
          <w:rFonts w:ascii="Calisto MT" w:hAnsi="Calisto MT"/>
          <w:sz w:val="24"/>
          <w:szCs w:val="24"/>
        </w:rPr>
      </w:pPr>
      <w:r w:rsidRPr="00365E20">
        <w:rPr>
          <w:rFonts w:ascii="Calisto MT" w:hAnsi="Calisto MT" w:cs="Arial"/>
          <w:color w:val="222222"/>
          <w:sz w:val="24"/>
          <w:szCs w:val="24"/>
          <w:shd w:val="clear" w:color="auto" w:fill="FFFFFF"/>
        </w:rPr>
        <w:t>Fritz, J. M., &amp; McDonald, J. R. (2008). Osteomyelitis: approach to diagnosis and treatment. </w:t>
      </w:r>
      <w:r w:rsidRPr="00365E20">
        <w:rPr>
          <w:rFonts w:ascii="Calisto MT" w:hAnsi="Calisto MT" w:cs="Arial"/>
          <w:i/>
          <w:iCs/>
          <w:color w:val="222222"/>
          <w:sz w:val="24"/>
          <w:szCs w:val="24"/>
          <w:shd w:val="clear" w:color="auto" w:fill="FFFFFF"/>
        </w:rPr>
        <w:t>The Physician and sportsmedicine</w:t>
      </w:r>
      <w:r w:rsidRPr="00365E20">
        <w:rPr>
          <w:rFonts w:ascii="Calisto MT" w:hAnsi="Calisto MT" w:cs="Arial"/>
          <w:color w:val="222222"/>
          <w:sz w:val="24"/>
          <w:szCs w:val="24"/>
          <w:shd w:val="clear" w:color="auto" w:fill="FFFFFF"/>
        </w:rPr>
        <w:t>, </w:t>
      </w:r>
      <w:r w:rsidRPr="00365E20">
        <w:rPr>
          <w:rFonts w:ascii="Calisto MT" w:hAnsi="Calisto MT" w:cs="Arial"/>
          <w:i/>
          <w:iCs/>
          <w:color w:val="222222"/>
          <w:sz w:val="24"/>
          <w:szCs w:val="24"/>
          <w:shd w:val="clear" w:color="auto" w:fill="FFFFFF"/>
        </w:rPr>
        <w:t>36</w:t>
      </w:r>
      <w:r w:rsidRPr="00365E20">
        <w:rPr>
          <w:rFonts w:ascii="Calisto MT" w:hAnsi="Calisto MT" w:cs="Arial"/>
          <w:color w:val="222222"/>
          <w:sz w:val="24"/>
          <w:szCs w:val="24"/>
          <w:shd w:val="clear" w:color="auto" w:fill="FFFFFF"/>
        </w:rPr>
        <w:t>(1), 50-54.</w:t>
      </w:r>
    </w:p>
    <w:p w:rsidR="00F42B24" w:rsidRPr="00365E20" w:rsidRDefault="00F42B24" w:rsidP="00220C62">
      <w:pPr>
        <w:spacing w:after="0" w:line="240" w:lineRule="auto"/>
        <w:ind w:left="720" w:hanging="720"/>
        <w:jc w:val="both"/>
        <w:rPr>
          <w:rFonts w:ascii="Calisto MT" w:hAnsi="Calisto MT"/>
          <w:sz w:val="24"/>
          <w:szCs w:val="24"/>
        </w:rPr>
      </w:pPr>
      <w:r w:rsidRPr="00365E20">
        <w:rPr>
          <w:rFonts w:ascii="Calisto MT" w:hAnsi="Calisto MT"/>
          <w:sz w:val="24"/>
          <w:szCs w:val="24"/>
        </w:rPr>
        <w:t xml:space="preserve">Gentry L0. (1987). 0verview of osteomyelitis. Ortho Rev.16:255. </w:t>
      </w:r>
    </w:p>
    <w:p w:rsidR="00F42B24" w:rsidRPr="00365E20" w:rsidRDefault="00F42B24" w:rsidP="00220C62">
      <w:pPr>
        <w:spacing w:after="0" w:line="240" w:lineRule="auto"/>
        <w:ind w:left="720" w:hanging="720"/>
        <w:rPr>
          <w:rFonts w:ascii="Calisto MT" w:hAnsi="Calisto MT"/>
          <w:sz w:val="24"/>
          <w:szCs w:val="24"/>
        </w:rPr>
      </w:pPr>
      <w:r w:rsidRPr="00365E20">
        <w:rPr>
          <w:rFonts w:ascii="Calisto MT" w:hAnsi="Calisto MT" w:cs="Arial"/>
          <w:color w:val="222222"/>
          <w:sz w:val="24"/>
          <w:szCs w:val="24"/>
          <w:shd w:val="clear" w:color="auto" w:fill="FFFFFF"/>
        </w:rPr>
        <w:t>Hoffman, W., Lakkis, F. G., &amp; Chalasani, G. (2016). B cells, antibodies, and more. </w:t>
      </w:r>
      <w:r w:rsidRPr="00365E20">
        <w:rPr>
          <w:rFonts w:ascii="Calisto MT" w:hAnsi="Calisto MT" w:cs="Arial"/>
          <w:i/>
          <w:iCs/>
          <w:color w:val="222222"/>
          <w:sz w:val="24"/>
          <w:szCs w:val="24"/>
          <w:shd w:val="clear" w:color="auto" w:fill="FFFFFF"/>
        </w:rPr>
        <w:t>Clinical Journal of the American Society of Nephrology</w:t>
      </w:r>
      <w:r w:rsidRPr="00365E20">
        <w:rPr>
          <w:rFonts w:ascii="Calisto MT" w:hAnsi="Calisto MT" w:cs="Arial"/>
          <w:color w:val="222222"/>
          <w:sz w:val="24"/>
          <w:szCs w:val="24"/>
          <w:shd w:val="clear" w:color="auto" w:fill="FFFFFF"/>
        </w:rPr>
        <w:t>, </w:t>
      </w:r>
      <w:r w:rsidRPr="00365E20">
        <w:rPr>
          <w:rFonts w:ascii="Calisto MT" w:hAnsi="Calisto MT" w:cs="Arial"/>
          <w:i/>
          <w:iCs/>
          <w:color w:val="222222"/>
          <w:sz w:val="24"/>
          <w:szCs w:val="24"/>
          <w:shd w:val="clear" w:color="auto" w:fill="FFFFFF"/>
        </w:rPr>
        <w:t>11</w:t>
      </w:r>
      <w:r w:rsidRPr="00365E20">
        <w:rPr>
          <w:rFonts w:ascii="Calisto MT" w:hAnsi="Calisto MT" w:cs="Arial"/>
          <w:color w:val="222222"/>
          <w:sz w:val="24"/>
          <w:szCs w:val="24"/>
          <w:shd w:val="clear" w:color="auto" w:fill="FFFFFF"/>
        </w:rPr>
        <w:t>(1), 137-154.</w:t>
      </w:r>
    </w:p>
    <w:p w:rsidR="00F42B24" w:rsidRPr="00365E20" w:rsidRDefault="00F42B24" w:rsidP="00220C62">
      <w:pPr>
        <w:spacing w:after="0" w:line="240" w:lineRule="auto"/>
        <w:ind w:left="720" w:hanging="720"/>
        <w:jc w:val="both"/>
        <w:rPr>
          <w:rFonts w:ascii="Calisto MT" w:hAnsi="Calisto MT"/>
          <w:sz w:val="24"/>
          <w:szCs w:val="24"/>
        </w:rPr>
      </w:pPr>
      <w:r w:rsidRPr="00365E20">
        <w:rPr>
          <w:rFonts w:ascii="Calisto MT" w:hAnsi="Calisto MT"/>
          <w:sz w:val="24"/>
          <w:szCs w:val="24"/>
        </w:rPr>
        <w:t xml:space="preserve">Howard AW, et al.(1999). Reduction in osteomyelitis and septic arthritis related to Haemophilus influenza type B vaccination. J Pediatr 0rthop. 19:705. </w:t>
      </w:r>
    </w:p>
    <w:p w:rsidR="00F42B24" w:rsidRPr="00365E20" w:rsidRDefault="00F42B24" w:rsidP="00220C62">
      <w:pPr>
        <w:spacing w:after="0" w:line="240" w:lineRule="auto"/>
        <w:ind w:left="720" w:hanging="720"/>
        <w:jc w:val="both"/>
        <w:rPr>
          <w:rFonts w:ascii="Calisto MT" w:hAnsi="Calisto MT"/>
          <w:sz w:val="24"/>
          <w:szCs w:val="24"/>
        </w:rPr>
      </w:pPr>
      <w:r w:rsidRPr="00365E20">
        <w:rPr>
          <w:rFonts w:ascii="Calisto MT" w:hAnsi="Calisto MT"/>
          <w:sz w:val="24"/>
          <w:szCs w:val="24"/>
        </w:rPr>
        <w:t>J. G. Leid, M. E. Shirtliff, J. W. Costerton, and P. Stoodley,(2002) “Human leukocytes adhere to, penetrate, and respond to Staphylococcus aureus biofilms,” Infection and Immunity, vol. 70, no. 11, pp. 6339–6345.</w:t>
      </w:r>
    </w:p>
    <w:p w:rsidR="00F42B24" w:rsidRPr="00365E20" w:rsidRDefault="00F42B24" w:rsidP="00220C62">
      <w:pPr>
        <w:spacing w:after="0" w:line="240" w:lineRule="auto"/>
        <w:ind w:left="720" w:hanging="720"/>
        <w:rPr>
          <w:rFonts w:ascii="Calisto MT" w:hAnsi="Calisto MT"/>
          <w:sz w:val="24"/>
          <w:szCs w:val="24"/>
        </w:rPr>
      </w:pPr>
      <w:r w:rsidRPr="00365E20">
        <w:rPr>
          <w:rFonts w:ascii="Calisto MT" w:hAnsi="Calisto MT"/>
          <w:sz w:val="24"/>
          <w:szCs w:val="24"/>
        </w:rPr>
        <w:t>J. T. Harty, A. R. Tvinnereim, and D. W. White, (2000)“CD8+ T cell effector mechanisms in resistance to infection,” Annual Review of Immunology, vol. 18, pp. 275–308.</w:t>
      </w:r>
    </w:p>
    <w:p w:rsidR="00F42B24" w:rsidRPr="00365E20" w:rsidRDefault="00F42B24" w:rsidP="00220C62">
      <w:pPr>
        <w:spacing w:after="0" w:line="240" w:lineRule="auto"/>
        <w:ind w:left="720" w:hanging="720"/>
        <w:jc w:val="both"/>
        <w:rPr>
          <w:rFonts w:ascii="Calisto MT" w:hAnsi="Calisto MT"/>
          <w:sz w:val="24"/>
          <w:szCs w:val="24"/>
        </w:rPr>
      </w:pPr>
      <w:r w:rsidRPr="00365E20">
        <w:rPr>
          <w:rFonts w:ascii="Calisto MT" w:hAnsi="Calisto MT"/>
          <w:sz w:val="24"/>
          <w:szCs w:val="24"/>
        </w:rPr>
        <w:t>J. W. Costerton, P. S. Stewart, and E. P. Greenberg,(2009) “Bacterial biofilms: a common cause of persistent infections,” Science, vol. 284, no. 5418, pp. 1318–1322, 1999.</w:t>
      </w:r>
    </w:p>
    <w:p w:rsidR="00F42B24" w:rsidRPr="00365E20" w:rsidRDefault="00F42B24" w:rsidP="00220C62">
      <w:pPr>
        <w:spacing w:after="0" w:line="240" w:lineRule="auto"/>
        <w:ind w:left="720" w:hanging="720"/>
        <w:jc w:val="both"/>
        <w:rPr>
          <w:rFonts w:ascii="Calisto MT" w:hAnsi="Calisto MT"/>
          <w:sz w:val="24"/>
          <w:szCs w:val="24"/>
        </w:rPr>
      </w:pPr>
      <w:r w:rsidRPr="00365E20">
        <w:rPr>
          <w:rFonts w:ascii="Calisto MT" w:hAnsi="Calisto MT"/>
          <w:sz w:val="24"/>
          <w:szCs w:val="24"/>
        </w:rPr>
        <w:t>Meyers BR, et al. (1973). Clinical patterns of osteomyelitis due to gram-negative bacteria. Arch Intern Med. 131:228.</w:t>
      </w:r>
    </w:p>
    <w:p w:rsidR="00F42B24" w:rsidRPr="00365E20" w:rsidRDefault="00F42B24" w:rsidP="00220C62">
      <w:pPr>
        <w:spacing w:after="0" w:line="240" w:lineRule="auto"/>
        <w:ind w:left="720" w:hanging="720"/>
        <w:jc w:val="both"/>
        <w:rPr>
          <w:rFonts w:ascii="Calisto MT" w:hAnsi="Calisto MT"/>
          <w:sz w:val="24"/>
          <w:szCs w:val="24"/>
        </w:rPr>
      </w:pPr>
      <w:r w:rsidRPr="00365E20">
        <w:rPr>
          <w:rFonts w:ascii="Calisto MT" w:hAnsi="Calisto MT"/>
          <w:sz w:val="24"/>
          <w:szCs w:val="24"/>
        </w:rPr>
        <w:lastRenderedPageBreak/>
        <w:t xml:space="preserve">P. Wong and E. G. Pamer, “CD8 T cell responses to infectious pathogens,”(2003) Annual Review of Immunology, vol. 21, pp. 29–70, </w:t>
      </w:r>
    </w:p>
    <w:p w:rsidR="00F42B24" w:rsidRPr="00365E20" w:rsidRDefault="00F42B24" w:rsidP="00220C62">
      <w:pPr>
        <w:spacing w:after="0" w:line="240" w:lineRule="auto"/>
        <w:ind w:left="720" w:hanging="720"/>
        <w:jc w:val="both"/>
        <w:rPr>
          <w:rFonts w:ascii="Calisto MT" w:hAnsi="Calisto MT"/>
          <w:sz w:val="24"/>
          <w:szCs w:val="24"/>
        </w:rPr>
      </w:pPr>
      <w:r w:rsidRPr="00365E20">
        <w:rPr>
          <w:rFonts w:ascii="Calisto MT" w:hAnsi="Calisto MT"/>
          <w:sz w:val="24"/>
          <w:szCs w:val="24"/>
        </w:rPr>
        <w:t>R. M. Donlan and J. W. Costerton,(2002) “Biofilms: survival mechanisms of clinically relevant microorganisms,” Clinical Microbiology Reviews, vol. 15, no. 2, pp. 167–193.</w:t>
      </w:r>
    </w:p>
    <w:p w:rsidR="00F42B24" w:rsidRPr="00365E20" w:rsidRDefault="00F42B24" w:rsidP="00220C62">
      <w:pPr>
        <w:spacing w:after="0" w:line="240" w:lineRule="auto"/>
        <w:ind w:left="720" w:hanging="720"/>
        <w:rPr>
          <w:rFonts w:ascii="Calisto MT" w:hAnsi="Calisto MT"/>
          <w:sz w:val="24"/>
          <w:szCs w:val="24"/>
        </w:rPr>
      </w:pPr>
      <w:r w:rsidRPr="00365E20">
        <w:rPr>
          <w:rFonts w:ascii="Calisto MT" w:hAnsi="Calisto MT" w:cs="Arial"/>
          <w:color w:val="222222"/>
          <w:sz w:val="24"/>
          <w:szCs w:val="24"/>
          <w:shd w:val="clear" w:color="auto" w:fill="FFFFFF"/>
        </w:rPr>
        <w:t>Rydzewska, M., Jaromin, M., Pasierowska, I. E., Sto</w:t>
      </w:r>
      <w:r w:rsidRPr="00365E20">
        <w:rPr>
          <w:rFonts w:ascii="Times New Roman" w:hAnsi="Times New Roman" w:cs="Times New Roman"/>
          <w:color w:val="222222"/>
          <w:sz w:val="24"/>
          <w:szCs w:val="24"/>
          <w:shd w:val="clear" w:color="auto" w:fill="FFFFFF"/>
        </w:rPr>
        <w:t>ż</w:t>
      </w:r>
      <w:r w:rsidRPr="00365E20">
        <w:rPr>
          <w:rFonts w:ascii="Calisto MT" w:hAnsi="Calisto MT" w:cs="Arial"/>
          <w:color w:val="222222"/>
          <w:sz w:val="24"/>
          <w:szCs w:val="24"/>
          <w:shd w:val="clear" w:color="auto" w:fill="FFFFFF"/>
        </w:rPr>
        <w:t>ek, K., &amp; Bossowski, A. (2018). Role of the T and B lymphocytes in pathogenesis of autoimmune thyroid diseases.</w:t>
      </w:r>
      <w:r w:rsidRPr="00365E20">
        <w:rPr>
          <w:rFonts w:ascii="Calisto MT" w:hAnsi="Calisto MT" w:cs="Calisto MT"/>
          <w:color w:val="222222"/>
          <w:sz w:val="24"/>
          <w:szCs w:val="24"/>
          <w:shd w:val="clear" w:color="auto" w:fill="FFFFFF"/>
        </w:rPr>
        <w:t> </w:t>
      </w:r>
      <w:r w:rsidRPr="00365E20">
        <w:rPr>
          <w:rFonts w:ascii="Calisto MT" w:hAnsi="Calisto MT" w:cs="Arial"/>
          <w:i/>
          <w:iCs/>
          <w:color w:val="222222"/>
          <w:sz w:val="24"/>
          <w:szCs w:val="24"/>
          <w:shd w:val="clear" w:color="auto" w:fill="FFFFFF"/>
        </w:rPr>
        <w:t>Thyroid research</w:t>
      </w:r>
      <w:r w:rsidRPr="00365E20">
        <w:rPr>
          <w:rFonts w:ascii="Calisto MT" w:hAnsi="Calisto MT" w:cs="Arial"/>
          <w:color w:val="222222"/>
          <w:sz w:val="24"/>
          <w:szCs w:val="24"/>
          <w:shd w:val="clear" w:color="auto" w:fill="FFFFFF"/>
        </w:rPr>
        <w:t>, </w:t>
      </w:r>
      <w:r w:rsidRPr="00365E20">
        <w:rPr>
          <w:rFonts w:ascii="Calisto MT" w:hAnsi="Calisto MT" w:cs="Arial"/>
          <w:i/>
          <w:iCs/>
          <w:color w:val="222222"/>
          <w:sz w:val="24"/>
          <w:szCs w:val="24"/>
          <w:shd w:val="clear" w:color="auto" w:fill="FFFFFF"/>
        </w:rPr>
        <w:t>11</w:t>
      </w:r>
      <w:r w:rsidRPr="00365E20">
        <w:rPr>
          <w:rFonts w:ascii="Calisto MT" w:hAnsi="Calisto MT" w:cs="Arial"/>
          <w:color w:val="222222"/>
          <w:sz w:val="24"/>
          <w:szCs w:val="24"/>
          <w:shd w:val="clear" w:color="auto" w:fill="FFFFFF"/>
        </w:rPr>
        <w:t>(1), 2.</w:t>
      </w:r>
    </w:p>
    <w:p w:rsidR="00F42B24" w:rsidRPr="00365E20" w:rsidRDefault="00F42B24" w:rsidP="00220C62">
      <w:pPr>
        <w:spacing w:after="0" w:line="240" w:lineRule="auto"/>
        <w:ind w:left="720" w:hanging="720"/>
        <w:jc w:val="both"/>
        <w:rPr>
          <w:rFonts w:ascii="Calisto MT" w:hAnsi="Calisto MT"/>
          <w:sz w:val="24"/>
          <w:szCs w:val="24"/>
        </w:rPr>
      </w:pPr>
      <w:r w:rsidRPr="00365E20">
        <w:rPr>
          <w:rFonts w:ascii="Calisto MT" w:hAnsi="Calisto MT"/>
          <w:sz w:val="24"/>
          <w:szCs w:val="24"/>
        </w:rPr>
        <w:t xml:space="preserve">S. K. Datta and E. Raz,(2005) “Induction of antigen cross-presentation by Toll-like receptors,” Springer Seminars in Immunopathology, vol. 26, no. 3, pp. 247–255, </w:t>
      </w:r>
    </w:p>
    <w:p w:rsidR="00F42B24" w:rsidRPr="00365E20" w:rsidRDefault="00F42B24" w:rsidP="00220C62">
      <w:pPr>
        <w:spacing w:after="0" w:line="240" w:lineRule="auto"/>
        <w:ind w:left="720" w:hanging="720"/>
        <w:jc w:val="both"/>
        <w:rPr>
          <w:rFonts w:ascii="Calisto MT" w:hAnsi="Calisto MT"/>
          <w:sz w:val="24"/>
          <w:szCs w:val="24"/>
        </w:rPr>
      </w:pPr>
      <w:r w:rsidRPr="00365E20">
        <w:rPr>
          <w:rFonts w:ascii="Calisto MT" w:hAnsi="Calisto MT"/>
          <w:sz w:val="24"/>
          <w:szCs w:val="24"/>
        </w:rPr>
        <w:t>T. Imanishi, H. Hara, S. Suzuki, N. Suzuki, S. Akira, and T. Saito,(2007) “Cutting edge: TLR2 directly triggers Th1 effector functions,” Journal of Immunology, vol. 178, no. 11, pp. 6715–6719,</w:t>
      </w:r>
    </w:p>
    <w:p w:rsidR="00F42B24" w:rsidRPr="00365E20" w:rsidRDefault="00F42B24" w:rsidP="00220C62">
      <w:pPr>
        <w:spacing w:after="0" w:line="240" w:lineRule="auto"/>
        <w:ind w:left="720" w:hanging="720"/>
        <w:jc w:val="both"/>
        <w:rPr>
          <w:rFonts w:ascii="Calisto MT" w:hAnsi="Calisto MT"/>
          <w:sz w:val="24"/>
          <w:szCs w:val="24"/>
        </w:rPr>
      </w:pPr>
      <w:r w:rsidRPr="00365E20">
        <w:rPr>
          <w:rFonts w:ascii="Calisto MT" w:hAnsi="Calisto MT"/>
          <w:sz w:val="24"/>
          <w:szCs w:val="24"/>
        </w:rPr>
        <w:t>W. Costerton, R. Veeh, M. Shirtliff, M. Pasmore, C. Post, and G. Ehrlich,(2003) “The application of biofilm science to the study and control of chronic bacterial infections,” Journal of Clinical Investigation, vol. 112, no. 10, pp. 1466–1477.</w:t>
      </w:r>
    </w:p>
    <w:p w:rsidR="00F42B24" w:rsidRPr="00365E20" w:rsidRDefault="00F42B24" w:rsidP="00220C62">
      <w:pPr>
        <w:spacing w:after="0" w:line="240" w:lineRule="auto"/>
        <w:ind w:left="720" w:hanging="720"/>
        <w:jc w:val="both"/>
        <w:rPr>
          <w:rFonts w:ascii="Calisto MT" w:hAnsi="Calisto MT"/>
          <w:sz w:val="24"/>
          <w:szCs w:val="24"/>
        </w:rPr>
      </w:pPr>
      <w:r w:rsidRPr="00365E20">
        <w:rPr>
          <w:rFonts w:ascii="Calisto MT" w:hAnsi="Calisto MT"/>
          <w:sz w:val="24"/>
          <w:szCs w:val="24"/>
        </w:rPr>
        <w:t>Wagner(2005), “Expression of elastase on polymorphonuclear neutrophils in vitro and in vivo: identification of CD11b as ligand for the surface-bound elastase,” Shock, vol. 23, no. 3, pp. 216–223.</w:t>
      </w:r>
    </w:p>
    <w:p w:rsidR="00F42B24" w:rsidRPr="00365E20" w:rsidRDefault="00F42B24" w:rsidP="00220C62">
      <w:pPr>
        <w:spacing w:after="0" w:line="240" w:lineRule="auto"/>
        <w:ind w:left="720" w:hanging="720"/>
        <w:jc w:val="both"/>
        <w:rPr>
          <w:rFonts w:ascii="Calisto MT" w:hAnsi="Calisto MT"/>
          <w:sz w:val="24"/>
          <w:szCs w:val="24"/>
        </w:rPr>
      </w:pPr>
      <w:r w:rsidRPr="00365E20">
        <w:rPr>
          <w:rFonts w:ascii="Calisto MT" w:hAnsi="Calisto MT"/>
          <w:sz w:val="24"/>
          <w:szCs w:val="24"/>
        </w:rPr>
        <w:t xml:space="preserve">Waldvogel FA, Vasey H(1980). 0steimyelitis: the past decade Engl J Med. 303:360. </w:t>
      </w:r>
    </w:p>
    <w:p w:rsidR="00F42B24" w:rsidRPr="00365E20" w:rsidRDefault="00F42B24" w:rsidP="00220C62">
      <w:pPr>
        <w:spacing w:after="0" w:line="240" w:lineRule="auto"/>
        <w:ind w:left="720" w:hanging="720"/>
        <w:jc w:val="both"/>
        <w:rPr>
          <w:rFonts w:ascii="Calisto MT" w:hAnsi="Calisto MT"/>
          <w:sz w:val="24"/>
          <w:szCs w:val="24"/>
        </w:rPr>
      </w:pPr>
      <w:r w:rsidRPr="00365E20">
        <w:rPr>
          <w:rFonts w:ascii="Calisto MT" w:hAnsi="Calisto MT"/>
          <w:sz w:val="24"/>
          <w:szCs w:val="24"/>
        </w:rPr>
        <w:t xml:space="preserve"> Weistein AJ. (1981). 0steomyelitis: microbiologic, clinical and therapeutic considerations. Prim Care. 8:557 </w:t>
      </w:r>
    </w:p>
    <w:sectPr w:rsidR="00F42B24" w:rsidRPr="00365E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42F" w:rsidRDefault="00F3642F" w:rsidP="009F4846">
      <w:pPr>
        <w:spacing w:after="0" w:line="240" w:lineRule="auto"/>
      </w:pPr>
      <w:r>
        <w:separator/>
      </w:r>
    </w:p>
  </w:endnote>
  <w:endnote w:type="continuationSeparator" w:id="0">
    <w:p w:rsidR="00F3642F" w:rsidRDefault="00F3642F" w:rsidP="009F4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42F" w:rsidRDefault="00F3642F" w:rsidP="009F4846">
      <w:pPr>
        <w:spacing w:after="0" w:line="240" w:lineRule="auto"/>
      </w:pPr>
      <w:r>
        <w:separator/>
      </w:r>
    </w:p>
  </w:footnote>
  <w:footnote w:type="continuationSeparator" w:id="0">
    <w:p w:rsidR="00F3642F" w:rsidRDefault="00F3642F" w:rsidP="009F48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F316A7"/>
    <w:multiLevelType w:val="hybridMultilevel"/>
    <w:tmpl w:val="6EAE7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92F"/>
    <w:rsid w:val="00001CC4"/>
    <w:rsid w:val="000E220F"/>
    <w:rsid w:val="00220C62"/>
    <w:rsid w:val="002B6A98"/>
    <w:rsid w:val="0035629E"/>
    <w:rsid w:val="00365E20"/>
    <w:rsid w:val="00501F3E"/>
    <w:rsid w:val="00505E90"/>
    <w:rsid w:val="006618EA"/>
    <w:rsid w:val="00855C09"/>
    <w:rsid w:val="00872AA1"/>
    <w:rsid w:val="009253DC"/>
    <w:rsid w:val="009953DF"/>
    <w:rsid w:val="009F4846"/>
    <w:rsid w:val="00A72523"/>
    <w:rsid w:val="00AB788F"/>
    <w:rsid w:val="00AD5222"/>
    <w:rsid w:val="00AE092F"/>
    <w:rsid w:val="00B54DA1"/>
    <w:rsid w:val="00BC6655"/>
    <w:rsid w:val="00BE45C7"/>
    <w:rsid w:val="00CD6B4F"/>
    <w:rsid w:val="00DB2B73"/>
    <w:rsid w:val="00E86571"/>
    <w:rsid w:val="00F3642F"/>
    <w:rsid w:val="00F42B24"/>
    <w:rsid w:val="00F76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CC4"/>
    <w:pPr>
      <w:ind w:left="720"/>
      <w:contextualSpacing/>
    </w:pPr>
  </w:style>
  <w:style w:type="paragraph" w:styleId="Header">
    <w:name w:val="header"/>
    <w:basedOn w:val="Normal"/>
    <w:link w:val="HeaderChar"/>
    <w:uiPriority w:val="99"/>
    <w:unhideWhenUsed/>
    <w:rsid w:val="009F4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846"/>
  </w:style>
  <w:style w:type="paragraph" w:styleId="Footer">
    <w:name w:val="footer"/>
    <w:basedOn w:val="Normal"/>
    <w:link w:val="FooterChar"/>
    <w:uiPriority w:val="99"/>
    <w:unhideWhenUsed/>
    <w:rsid w:val="009F4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8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CC4"/>
    <w:pPr>
      <w:ind w:left="720"/>
      <w:contextualSpacing/>
    </w:pPr>
  </w:style>
  <w:style w:type="paragraph" w:styleId="Header">
    <w:name w:val="header"/>
    <w:basedOn w:val="Normal"/>
    <w:link w:val="HeaderChar"/>
    <w:uiPriority w:val="99"/>
    <w:unhideWhenUsed/>
    <w:rsid w:val="009F4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846"/>
  </w:style>
  <w:style w:type="paragraph" w:styleId="Footer">
    <w:name w:val="footer"/>
    <w:basedOn w:val="Normal"/>
    <w:link w:val="FooterChar"/>
    <w:uiPriority w:val="99"/>
    <w:unhideWhenUsed/>
    <w:rsid w:val="009F4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1512</TotalTime>
  <Pages>10</Pages>
  <Words>3101</Words>
  <Characters>17677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KHAIRAT</dc:creator>
  <cp:lastModifiedBy>KHAIRAT</cp:lastModifiedBy>
  <cp:revision>8</cp:revision>
  <dcterms:created xsi:type="dcterms:W3CDTF">2020-04-25T21:06:00Z</dcterms:created>
  <dcterms:modified xsi:type="dcterms:W3CDTF">2020-04-26T22:55:00Z</dcterms:modified>
</cp:coreProperties>
</file>