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t xml:space="preserve">NAME: </w:t>
      </w:r>
      <w:r>
        <w:rPr>
          <w:lang w:val="en-US"/>
        </w:rPr>
        <w:t>OYEFIADE ADEWALE AKEEM</w:t>
      </w:r>
    </w:p>
    <w:p>
      <w:pPr>
        <w:pStyle w:val="style0"/>
        <w:spacing w:lineRule="auto" w:line="240"/>
        <w:rPr/>
      </w:pPr>
      <w:r>
        <w:t>MATRIC NO: 18/</w:t>
      </w:r>
      <w:r>
        <w:rPr>
          <w:lang w:val="en-US"/>
        </w:rPr>
        <w:t>SCI01/077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2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888af1cb-105b-4cc7-aafe-c0f8040bc08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7ff29e7a-a0ba-4842-b36f-ed538f3ed0b4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Words>332</Words>
  <Pages>3</Pages>
  <Characters>1185</Characters>
  <Application>WPS Office</Application>
  <DocSecurity>0</DocSecurity>
  <Paragraphs>72</Paragraphs>
  <ScaleCrop>false</ScaleCrop>
  <LinksUpToDate>false</LinksUpToDate>
  <CharactersWithSpaces>2348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2020-04-23T19:29:00Z</dcterms:created>
  <dc:creator>david</dc:creator>
  <lastModifiedBy>SM-G970F</lastModifiedBy>
  <dcterms:modified xsi:type="dcterms:W3CDTF">2020-04-27T12:05:26Z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