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O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kwong David Victor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63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mechanical engineering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34f2207-f9a2-4b8a-8421-7e9176bd9b6a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df20bfc1-c3f1-4f9e-8d5a-a55e24f2d28e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f028d1a5-ebc5-4997-87dd-91376594ffc0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df672ed6-f541-43a3-98b9-51d69d308a56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ba9d08bf-1401-44fc-9949-bad08dc38b12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3f543697-85d0-4f39-99a7-29aae30386d8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f57e44cf-46c4-417f-b78f-3f6d9f5dac5f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134</Words>
  <Pages>3</Pages>
  <Characters>879</Characters>
  <Application>WPS Office</Application>
  <DocSecurity>0</DocSecurity>
  <Paragraphs>52</Paragraphs>
  <ScaleCrop>false</ScaleCrop>
  <LinksUpToDate>false</LinksUpToDate>
  <CharactersWithSpaces>972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2020-04-27T23:19:35Z</dcterms:created>
  <dc:creator>Alegs</dc:creator>
  <lastModifiedBy>Nokia 5.1 Plus</lastModifiedBy>
  <dcterms:modified xsi:type="dcterms:W3CDTF">2020-04-27T23:19:35Z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