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eastAsia="Times New Roman"/>
        </w:rPr>
        <w:t> </w:t>
      </w:r>
      <w:r>
        <w:rPr>
          <w:rFonts w:eastAsia="Times New Roman"/>
        </w:rPr>
        <w:t>HALF LIFE</w:t>
      </w:r>
    </w:p>
    <w:p>
      <w:pPr>
        <w:pStyle w:val="style4106"/>
        <w:shd w:val="clear" w:color="auto" w:fill="ffffff"/>
        <w:spacing w:before="0" w:after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Another characteristic used to determine the order of a reaction from experimental data is the </w:t>
      </w:r>
      <w:r>
        <w:rPr/>
        <w:fldChar w:fldCharType="begin"/>
      </w:r>
      <w:r>
        <w:instrText xml:space="preserve"> HYPERLINK "https://chem.libretexts.org/Bookshelves/Physical_and_Theoretical_Chemistry_Textbook_Maps/Supplemental_Modules_(Physical_and_Theoretical_Chemistry)/Kinetics/Reaction_Rates/Half-lives_and_Pharmacokinetics" \o "http://chemwiki.ucdavis.edu/Physical_Chemistry/Kinetics/Reaction_Rates/Half-lives_and_Pharmacokinetics" </w:instrText>
      </w:r>
      <w:r>
        <w:rPr/>
        <w:fldChar w:fldCharType="separate"/>
      </w:r>
      <w:r>
        <w:rPr>
          <w:rStyle w:val="style85"/>
          <w:rFonts w:ascii="Tahoma" w:cs="Tahoma" w:hAnsi="Tahoma"/>
          <w:color w:val="30b3f6"/>
        </w:rPr>
        <w:t>half-life</w:t>
      </w:r>
      <w:r>
        <w:rPr/>
        <w:fldChar w:fldCharType="end"/>
      </w:r>
      <w:r>
        <w:rPr>
          <w:rFonts w:ascii="Tahoma" w:cs="Tahoma" w:hAnsi="Tahoma"/>
          <w:color w:val="000000"/>
        </w:rPr>
        <w:t> (</w:t>
      </w:r>
      <w:r>
        <w:rPr>
          <w:rStyle w:val="style4107"/>
          <w:rFonts w:ascii="MathJax_Math-italic" w:cs="Tahoma" w:hAnsi="MathJax_Math-italic"/>
          <w:color w:val="000000"/>
          <w:sz w:val="27"/>
          <w:szCs w:val="27"/>
          <w:bdr w:val="none" w:sz="0" w:space="0" w:color="auto" w:frame="true"/>
        </w:rPr>
        <w:t>t</w:t>
      </w:r>
      <w:r>
        <w:rPr>
          <w:rStyle w:val="style4109"/>
          <w:rFonts w:ascii="MathJax_Main" w:cs="Tahoma" w:hAnsi="MathJax_Main"/>
          <w:color w:val="000000"/>
          <w:sz w:val="19"/>
          <w:szCs w:val="19"/>
          <w:bdr w:val="none" w:sz="0" w:space="0" w:color="auto" w:frame="true"/>
        </w:rPr>
        <w:t>1</w:t>
      </w:r>
      <w:r>
        <w:rPr>
          <w:rStyle w:val="style4108"/>
          <w:rFonts w:ascii="MathJax_Main" w:cs="Tahoma" w:hAnsi="MathJax_Main"/>
          <w:color w:val="000000"/>
          <w:sz w:val="19"/>
          <w:szCs w:val="19"/>
          <w:bdr w:val="none" w:sz="0" w:space="0" w:color="auto" w:frame="true"/>
        </w:rPr>
        <w:t>/</w:t>
      </w:r>
      <w:r>
        <w:rPr>
          <w:rStyle w:val="style4109"/>
          <w:rFonts w:ascii="MathJax_Main" w:cs="Tahoma" w:hAnsi="MathJax_Main"/>
          <w:color w:val="000000"/>
          <w:sz w:val="19"/>
          <w:szCs w:val="19"/>
          <w:bdr w:val="none" w:sz="0" w:space="0" w:color="auto" w:frame="true"/>
        </w:rPr>
        <w:t>2</w:t>
      </w:r>
      <w:r>
        <w:rPr>
          <w:rStyle w:val="style4111"/>
          <w:rFonts w:ascii="Tahoma" w:cs="Tahoma" w:hAnsi="Tahoma"/>
          <w:color w:val="000000"/>
          <w:sz w:val="26"/>
          <w:szCs w:val="26"/>
          <w:bdr w:val="none" w:sz="0" w:space="0" w:color="auto" w:frame="true"/>
        </w:rPr>
        <w:t>t1/2</w:t>
      </w:r>
      <w:r>
        <w:rPr>
          <w:rFonts w:ascii="Tahoma" w:cs="Tahoma" w:hAnsi="Tahoma"/>
          <w:color w:val="000000"/>
        </w:rPr>
        <w:t>). By definition, the half life of any reaction is the amount of time it takes to consume half of the starting material. For a second-order reaction, the half-life is inversely related to the initial concentration of the reactant (A). For a second-order reaction each half-life is twice as long as the life span of the one before.</w:t>
      </w:r>
    </w:p>
    <w:p>
      <w:pPr>
        <w:pStyle w:val="style4106"/>
        <w:shd w:val="clear" w:color="auto" w:fill="ffffff"/>
        <w:spacing w:before="0" w:after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Consider the reaction </w:t>
      </w:r>
      <w:r>
        <w:rPr>
          <w:rStyle w:val="style4109"/>
          <w:rFonts w:ascii="MathJax_Main" w:cs="Tahoma" w:hAnsi="MathJax_Main"/>
          <w:color w:val="000000"/>
          <w:sz w:val="27"/>
          <w:szCs w:val="27"/>
          <w:bdr w:val="none" w:sz="0" w:space="0" w:color="auto" w:frame="true"/>
        </w:rPr>
        <w:t>2</w:t>
      </w:r>
      <w:r>
        <w:rPr>
          <w:rStyle w:val="style4107"/>
          <w:rFonts w:ascii="MathJax_Math-italic" w:cs="Tahoma" w:hAnsi="MathJax_Math-italic"/>
          <w:color w:val="000000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cs="Tahoma" w:hAnsi="MathJax_Main"/>
          <w:color w:val="000000"/>
          <w:sz w:val="27"/>
          <w:szCs w:val="27"/>
          <w:bdr w:val="none" w:sz="0" w:space="0" w:color="auto" w:frame="true"/>
        </w:rPr>
        <w:t>→</w:t>
      </w:r>
      <w:r>
        <w:rPr>
          <w:rStyle w:val="style4107"/>
          <w:rFonts w:ascii="MathJax_Math-italic" w:cs="Tahoma" w:hAnsi="MathJax_Math-italic"/>
          <w:color w:val="000000"/>
          <w:sz w:val="27"/>
          <w:szCs w:val="27"/>
          <w:bdr w:val="none" w:sz="0" w:space="0" w:color="auto" w:frame="true"/>
        </w:rPr>
        <w:t>P</w:t>
      </w:r>
      <w:r>
        <w:rPr>
          <w:rStyle w:val="style4111"/>
          <w:rFonts w:ascii="Tahoma" w:cs="Tahoma" w:hAnsi="Tahoma"/>
          <w:color w:val="000000"/>
          <w:sz w:val="26"/>
          <w:szCs w:val="26"/>
          <w:bdr w:val="none" w:sz="0" w:space="0" w:color="auto" w:frame="true"/>
        </w:rPr>
        <w:t>2A→P</w:t>
      </w:r>
      <w:r>
        <w:rPr>
          <w:rFonts w:ascii="Tahoma" w:cs="Tahoma" w:hAnsi="Tahoma"/>
          <w:color w:val="000000"/>
        </w:rPr>
        <w:t>:</w:t>
      </w:r>
    </w:p>
    <w:p>
      <w:pPr>
        <w:pStyle w:val="style4106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We can find an expression for the half-life of a second order reaction by using the previously derived integrated rate equation.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t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−</w:t>
      </w: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kt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(32)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(32)1[A]t−1[A]o=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kt</w:t>
      </w: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Since,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t</w:t>
      </w:r>
      <w:r>
        <w:rPr>
          <w:rStyle w:val="style4109"/>
          <w:rFonts w:ascii="MathJax_Main" w:eastAsia="Times New Roman" w:hAnsi="MathJax_Main"/>
          <w:sz w:val="14"/>
          <w:szCs w:val="14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14"/>
          <w:szCs w:val="14"/>
          <w:bdr w:val="none" w:sz="0" w:space="0" w:color="auto" w:frame="true"/>
        </w:rPr>
        <w:t>/</w:t>
      </w:r>
      <w:r>
        <w:rPr>
          <w:rStyle w:val="style4109"/>
          <w:rFonts w:ascii="MathJax_Main" w:eastAsia="Times New Roman" w:hAnsi="MathJax_Main"/>
          <w:sz w:val="14"/>
          <w:szCs w:val="14"/>
          <w:bdr w:val="none" w:sz="0" w:space="0" w:color="auto" w:frame="true"/>
        </w:rPr>
        <w:t>2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12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(33)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(33)[A]t1/2=12[A]o</w:t>
      </w: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When,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t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t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19"/>
          <w:szCs w:val="19"/>
          <w:bdr w:val="none" w:sz="0" w:space="0" w:color="auto" w:frame="true"/>
        </w:rPr>
        <w:t>/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2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(34)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(34)t=t1/2</w:t>
      </w: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Our integrated rate equation becomes: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112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−</w:t>
      </w: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kt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19"/>
          <w:szCs w:val="19"/>
          <w:bdr w:val="none" w:sz="0" w:space="0" w:color="auto" w:frame="true"/>
        </w:rPr>
        <w:t>/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2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(35)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(35)112[A]o−1[A]o=kt1/2</w:t>
      </w: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After a series of algebraic steps,</w:t>
      </w:r>
    </w:p>
    <w:p>
      <w:pPr>
        <w:pStyle w:val="style0"/>
        <w:jc w:val="center"/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</w:pP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2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−</w:t>
      </w: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kt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19"/>
          <w:szCs w:val="19"/>
          <w:bdr w:val="none" w:sz="0" w:space="0" w:color="auto" w:frame="true"/>
        </w:rPr>
        <w:t>/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2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(36)</w:t>
      </w:r>
    </w:p>
    <w:p>
      <w:pPr>
        <w:pStyle w:val="style0"/>
        <w:jc w:val="center"/>
        <w:rPr>
          <w:rStyle w:val="style4111"/>
          <w:rFonts w:eastAsia="Times New Roman"/>
          <w:sz w:val="26"/>
          <w:szCs w:val="26"/>
          <w:bdr w:val="none" w:sz="0" w:space="0" w:color="auto" w:frame="true"/>
        </w:rPr>
      </w:pP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(36)2[A]o−1[A]o=kt1/2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We obtain the equation for the half-life of a second order reaction:</w:t>
      </w:r>
    </w:p>
    <w:p>
      <w:pPr>
        <w:pStyle w:val="style0"/>
        <w:jc w:val="center"/>
        <w:rPr>
          <w:rFonts w:ascii="Times New Roman" w:cs="Times New Roman" w:eastAsia="Times New Roman" w:hAnsi="Times New Roman"/>
        </w:rPr>
      </w:pP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t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1</w:t>
      </w:r>
      <w:r>
        <w:rPr>
          <w:rStyle w:val="style4108"/>
          <w:rFonts w:ascii="MathJax_Main" w:eastAsia="Times New Roman" w:hAnsi="MathJax_Main"/>
          <w:sz w:val="19"/>
          <w:szCs w:val="19"/>
          <w:bdr w:val="none" w:sz="0" w:space="0" w:color="auto" w:frame="true"/>
        </w:rPr>
        <w:t>/</w:t>
      </w:r>
      <w:r>
        <w:rPr>
          <w:rStyle w:val="style4109"/>
          <w:rFonts w:ascii="MathJax_Main" w:eastAsia="Times New Roman" w:hAnsi="MathJax_Main"/>
          <w:sz w:val="19"/>
          <w:szCs w:val="19"/>
          <w:bdr w:val="none" w:sz="0" w:space="0" w:color="auto" w:frame="true"/>
        </w:rPr>
        <w:t>2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=</w:t>
      </w:r>
      <w:r>
        <w:rPr>
          <w:rStyle w:val="style4109"/>
          <w:rFonts w:ascii="MathJax_Main" w:eastAsia="Times New Roman" w:hAnsi="MathJax_Main"/>
          <w:sz w:val="27"/>
          <w:szCs w:val="27"/>
          <w:bdr w:val="none" w:sz="0" w:space="0" w:color="auto" w:frame="true"/>
        </w:rPr>
        <w:t>1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k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[</w:t>
      </w:r>
      <w:r>
        <w:rPr>
          <w:rStyle w:val="style4107"/>
          <w:rFonts w:ascii="MathJax_Math-italic" w:eastAsia="Times New Roman" w:hAnsi="MathJax_Math-italic"/>
          <w:sz w:val="27"/>
          <w:szCs w:val="27"/>
          <w:bdr w:val="none" w:sz="0" w:space="0" w:color="auto" w:frame="true"/>
        </w:rPr>
        <w:t>A</w:t>
      </w:r>
      <w:r>
        <w:rPr>
          <w:rStyle w:val="style4108"/>
          <w:rFonts w:ascii="MathJax_Main" w:eastAsia="Times New Roman" w:hAnsi="MathJax_Main"/>
          <w:sz w:val="27"/>
          <w:szCs w:val="27"/>
          <w:bdr w:val="none" w:sz="0" w:space="0" w:color="auto" w:frame="true"/>
        </w:rPr>
        <w:t>]</w:t>
      </w:r>
      <w:r>
        <w:rPr>
          <w:rStyle w:val="style4107"/>
          <w:rFonts w:ascii="MathJax_Math-italic" w:eastAsia="Times New Roman" w:hAnsi="MathJax_Math-italic"/>
          <w:sz w:val="19"/>
          <w:szCs w:val="19"/>
          <w:bdr w:val="none" w:sz="0" w:space="0" w:color="auto" w:frame="true"/>
        </w:rPr>
        <w:t>o</w:t>
      </w:r>
      <w:r>
        <w:rPr>
          <w:rStyle w:val="style4110"/>
          <w:rFonts w:ascii="MathJax_Main" w:eastAsia="Times New Roman" w:hAnsi="MathJax_Main"/>
          <w:sz w:val="27"/>
          <w:szCs w:val="27"/>
          <w:bdr w:val="none" w:sz="0" w:space="0" w:color="auto" w:frame="true"/>
        </w:rPr>
        <w:t>(38)</w:t>
      </w:r>
      <w:r>
        <w:rPr>
          <w:rStyle w:val="style4111"/>
          <w:rFonts w:eastAsia="Times New Roman"/>
          <w:sz w:val="26"/>
          <w:szCs w:val="26"/>
          <w:bdr w:val="none" w:sz="0" w:space="0" w:color="auto" w:frame="true"/>
        </w:rPr>
        <w:t>(38)t1/2=1k[A]o</w:t>
      </w:r>
    </w:p>
    <w:p>
      <w:pPr>
        <w:pStyle w:val="style94"/>
        <w:shd w:val="clear" w:color="auto" w:fill="ffffff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 xml:space="preserve">This inverse relationship suggests that as the initial concentration of reactant is increased, there is a higher probability of the two reactant molecules interacting to form product. Consequently, the reactant will be consumed in a shorter amount of time, i.e. the reaction will have a shorter half-life. This equation also implies that since the half-life is longer </w:t>
      </w:r>
      <w:r>
        <w:rPr>
          <w:rFonts w:ascii="Tahoma" w:cs="Tahoma" w:hAnsi="Tahoma"/>
          <w:color w:val="000000"/>
        </w:rPr>
        <w:t>when the concentrations are low, species decaying according to second-order kinetics may exist for a longer amount of time if their initial concentrations are small.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3763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78ecd9c-1bbe-4153-89b9-feb54e5207eb"/>
    <w:basedOn w:val="style65"/>
    <w:next w:val="style4097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customStyle="1" w:styleId="style4098">
    <w:name w:val="Heading 2 Char_a726e08c-d281-4dc3-a9a9-0aaf8e4bc13a"/>
    <w:basedOn w:val="style65"/>
    <w:next w:val="style4098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  <w:style w:type="character" w:customStyle="1" w:styleId="style4099">
    <w:name w:val="Heading 3 Char_917b8d6e-b8e1-4684-9b55-77168ae0bd2b"/>
    <w:basedOn w:val="style65"/>
    <w:next w:val="style4099"/>
    <w:link w:val="style3"/>
    <w:uiPriority w:val="9"/>
    <w:rPr>
      <w:rFonts w:ascii="Calibri Light" w:cs="宋体" w:eastAsia="宋体" w:hAnsi="Calibri Light"/>
      <w:color w:val="1f3763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100">
    <w:name w:val="elm-last-modified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customStyle="1" w:styleId="style4101">
    <w:name w:val="mt-last-updated"/>
    <w:basedOn w:val="style65"/>
    <w:next w:val="style4101"/>
  </w:style>
  <w:style w:type="paragraph" w:customStyle="1" w:styleId="style4102">
    <w:name w:val="elm-article-pagination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customStyle="1" w:styleId="style4103">
    <w:name w:val="mt-pagination-previous"/>
    <w:basedOn w:val="style0"/>
    <w:next w:val="style4103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customStyle="1" w:styleId="style4104">
    <w:name w:val="mt-pagination-next"/>
    <w:basedOn w:val="style0"/>
    <w:next w:val="style4104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customStyle="1" w:styleId="style4105">
    <w:name w:val="elm-social-share"/>
    <w:basedOn w:val="style0"/>
    <w:next w:val="style4105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customStyle="1" w:styleId="style4106">
    <w:name w:val="paragraph"/>
    <w:basedOn w:val="style0"/>
    <w:next w:val="style4106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customStyle="1" w:styleId="style4107">
    <w:name w:val="mi"/>
    <w:basedOn w:val="style65"/>
    <w:next w:val="style4107"/>
  </w:style>
  <w:style w:type="character" w:customStyle="1" w:styleId="style4108">
    <w:name w:val="mo"/>
    <w:basedOn w:val="style65"/>
    <w:next w:val="style4108"/>
  </w:style>
  <w:style w:type="character" w:customStyle="1" w:styleId="style4109">
    <w:name w:val="mn"/>
    <w:basedOn w:val="style65"/>
    <w:next w:val="style4109"/>
  </w:style>
  <w:style w:type="character" w:customStyle="1" w:styleId="style4110">
    <w:name w:val="mtext"/>
    <w:basedOn w:val="style65"/>
    <w:next w:val="style4110"/>
  </w:style>
  <w:style w:type="character" w:customStyle="1" w:styleId="style4111">
    <w:name w:val="mjx_assistive_mathml"/>
    <w:basedOn w:val="style65"/>
    <w:next w:val="style41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215</Words>
  <Pages>2</Pages>
  <Characters>1307</Characters>
  <Application>WPS Office</Application>
  <DocSecurity>0</DocSecurity>
  <Paragraphs>19</Paragraphs>
  <ScaleCrop>false</ScaleCrop>
  <LinksUpToDate>false</LinksUpToDate>
  <CharactersWithSpaces>1506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2020-04-24T17:15:00Z</dcterms:created>
  <dc:creator>Adebowale Oladipupo</dc:creator>
  <lastModifiedBy>TECNO KC8</lastModifiedBy>
  <dcterms:modified xsi:type="dcterms:W3CDTF">2020-04-28T09:15:28Z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