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bCs/>
          <w:color w:val="36363d"/>
          <w:sz w:val="28"/>
          <w:szCs w:val="28"/>
          <w:highlight w:val="none"/>
          <w:u w:val="single"/>
        </w:rPr>
      </w:pPr>
      <w:r>
        <w:rPr>
          <w:rFonts w:cs="Times New Roman" w:hAnsi="Times New Roman"/>
          <w:b/>
          <w:bCs/>
          <w:color w:val="36363d"/>
          <w:sz w:val="28"/>
          <w:szCs w:val="28"/>
          <w:highlight w:val="none"/>
          <w:u w:val="single"/>
          <w:lang w:val="en-US"/>
        </w:rPr>
        <w:t>OBI CHUKWUDUMEBI NNAMDI</w:t>
      </w:r>
    </w:p>
    <w:p>
      <w:pPr>
        <w:pStyle w:val="style0"/>
        <w:spacing w:lineRule="auto" w:line="360"/>
        <w:rPr>
          <w:rFonts w:ascii="Times New Roman" w:cs="Times New Roman" w:hAnsi="Times New Roman"/>
          <w:b/>
          <w:bCs/>
          <w:color w:val="36363d"/>
          <w:sz w:val="28"/>
          <w:szCs w:val="28"/>
          <w:highlight w:val="none"/>
          <w:u w:val="single"/>
        </w:rPr>
      </w:pPr>
      <w:r>
        <w:rPr>
          <w:rFonts w:ascii="Times New Roman" w:cs="Times New Roman" w:hAnsi="Times New Roman"/>
          <w:b/>
          <w:bCs/>
          <w:color w:val="36363d"/>
          <w:sz w:val="28"/>
          <w:szCs w:val="28"/>
          <w:highlight w:val="none"/>
          <w:u w:val="single"/>
        </w:rPr>
        <w:t>18/MHS0</w:t>
      </w:r>
      <w:r>
        <w:rPr>
          <w:rFonts w:cs="Times New Roman" w:hAnsi="Times New Roman"/>
          <w:b/>
          <w:bCs/>
          <w:color w:val="36363d"/>
          <w:sz w:val="28"/>
          <w:szCs w:val="28"/>
          <w:highlight w:val="none"/>
          <w:u w:val="single"/>
          <w:lang w:val="en-US"/>
        </w:rPr>
        <w:t>3</w:t>
      </w:r>
      <w:r>
        <w:rPr>
          <w:rFonts w:ascii="Times New Roman" w:cs="Times New Roman" w:hAnsi="Times New Roman"/>
          <w:b/>
          <w:bCs/>
          <w:color w:val="36363d"/>
          <w:sz w:val="28"/>
          <w:szCs w:val="28"/>
          <w:highlight w:val="none"/>
          <w:u w:val="single"/>
        </w:rPr>
        <w:t>/</w:t>
      </w:r>
      <w:r>
        <w:rPr>
          <w:rFonts w:cs="Times New Roman" w:hAnsi="Times New Roman"/>
          <w:b/>
          <w:bCs/>
          <w:color w:val="36363d"/>
          <w:sz w:val="28"/>
          <w:szCs w:val="28"/>
          <w:highlight w:val="none"/>
          <w:u w:val="single"/>
          <w:lang w:val="en-US"/>
        </w:rPr>
        <w:t>008</w:t>
      </w:r>
    </w:p>
    <w:p>
      <w:pPr>
        <w:pStyle w:val="style0"/>
        <w:spacing w:lineRule="auto" w:line="360"/>
        <w:rPr>
          <w:rFonts w:ascii="Times New Roman" w:cs="Times New Roman" w:hAnsi="Times New Roman"/>
          <w:b/>
          <w:bCs/>
          <w:color w:val="36363d"/>
          <w:sz w:val="28"/>
          <w:szCs w:val="28"/>
          <w:highlight w:val="none"/>
          <w:u w:val="single"/>
        </w:rPr>
      </w:pPr>
      <w:r>
        <w:rPr>
          <w:rFonts w:cs="Times New Roman" w:hAnsi="Times New Roman"/>
          <w:b/>
          <w:bCs/>
          <w:color w:val="36363d"/>
          <w:sz w:val="28"/>
          <w:szCs w:val="28"/>
          <w:highlight w:val="none"/>
          <w:u w:val="single"/>
          <w:lang w:val="en-US"/>
        </w:rPr>
        <w:t>DEPARTMENT OF HUMAN ANATOMY</w:t>
      </w:r>
      <w:r>
        <w:rPr>
          <w:rFonts w:ascii="Times New Roman" w:cs="Times New Roman" w:hAnsi="Times New Roman"/>
          <w:b/>
          <w:bCs/>
          <w:color w:val="36363d"/>
          <w:sz w:val="28"/>
          <w:szCs w:val="28"/>
          <w:highlight w:val="none"/>
          <w:u w:val="single"/>
        </w:rPr>
        <w:t xml:space="preserve"> </w:t>
      </w:r>
    </w:p>
    <w:p>
      <w:pPr>
        <w:pStyle w:val="style0"/>
        <w:spacing w:lineRule="auto" w:line="360"/>
        <w:rPr>
          <w:rFonts w:ascii="Times New Roman" w:cs="Times New Roman" w:hAnsi="Times New Roman"/>
          <w:b/>
          <w:bCs/>
          <w:color w:val="36363d"/>
          <w:sz w:val="28"/>
          <w:szCs w:val="28"/>
          <w:highlight w:val="none"/>
          <w:u w:val="single"/>
        </w:rPr>
      </w:pPr>
      <w:r>
        <w:rPr>
          <w:rFonts w:ascii="Times New Roman" w:cs="Times New Roman" w:hAnsi="Times New Roman"/>
          <w:b/>
          <w:bCs/>
          <w:color w:val="36363d"/>
          <w:sz w:val="28"/>
          <w:szCs w:val="28"/>
          <w:highlight w:val="none"/>
          <w:u w:val="single"/>
        </w:rPr>
        <w:t>A</w:t>
      </w:r>
      <w:r>
        <w:rPr>
          <w:rFonts w:cs="Times New Roman" w:hAnsi="Times New Roman"/>
          <w:b/>
          <w:bCs/>
          <w:color w:val="36363d"/>
          <w:sz w:val="28"/>
          <w:szCs w:val="28"/>
          <w:highlight w:val="none"/>
          <w:u w:val="single"/>
          <w:lang w:val="en-US"/>
        </w:rPr>
        <w:t>NA</w:t>
      </w:r>
      <w:r>
        <w:rPr>
          <w:rFonts w:ascii="Times New Roman" w:cs="Times New Roman" w:hAnsi="Times New Roman"/>
          <w:b/>
          <w:bCs/>
          <w:color w:val="36363d"/>
          <w:sz w:val="28"/>
          <w:szCs w:val="28"/>
          <w:highlight w:val="none"/>
          <w:u w:val="single"/>
        </w:rPr>
        <w:t xml:space="preserve"> 204</w:t>
      </w:r>
    </w:p>
    <w:bookmarkStart w:id="0" w:name="_GoBack"/>
    <w:bookmarkEnd w:id="0"/>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QUESTION</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Describe the microanatomy of small and large intestine. Note: you are expected to state the functions, segment, layers, general features and epithelium of each part of the small and large intestine. </w:t>
      </w:r>
    </w:p>
    <w:tbl>
      <w:tblPr>
        <w:tblStyle w:val="style154"/>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3382"/>
        <w:gridCol w:w="3028"/>
        <w:gridCol w:w="3120"/>
      </w:tblGrid>
      <w:tr>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 xml:space="preserve">Basis of comparison </w:t>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 xml:space="preserve">Small intestine </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 xml:space="preserve">Intestine intestine </w:t>
            </w:r>
          </w:p>
        </w:tc>
      </w:tr>
      <w:tr>
        <w:tblPrEx/>
        <w:trPr>
          <w:trHeight w:val="544" w:hRule="atLeast"/>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Size</w:t>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hint="default"/>
                <w:color w:val="36363d"/>
                <w:sz w:val="24"/>
                <w:szCs w:val="24"/>
                <w:highlight w:val="none"/>
                <w:lang w:val="en-US"/>
              </w:rPr>
            </w:pPr>
            <w:r>
              <w:rPr>
                <w:rFonts w:cs="Times New Roman" w:hAnsi="Times New Roman" w:hint="default"/>
                <w:color w:val="36363d"/>
                <w:sz w:val="24"/>
                <w:szCs w:val="24"/>
                <w:highlight w:val="none"/>
                <w:lang w:val="en-US"/>
              </w:rPr>
              <w:t>Small intestine measures around 4.5 - 7.0 m in size.</w:t>
            </w:r>
          </w:p>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It is narrow in width of around 3.5 - 4.5 cm.</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color w:val="36363d"/>
                <w:sz w:val="24"/>
                <w:szCs w:val="24"/>
                <w:highlight w:val="none"/>
              </w:rPr>
            </w:pPr>
            <w:r>
              <w:rPr>
                <w:rFonts w:cs="Times New Roman" w:hAnsi="Times New Roman" w:hint="default"/>
                <w:color w:val="36363d"/>
                <w:sz w:val="24"/>
                <w:szCs w:val="24"/>
                <w:highlight w:val="none"/>
                <w:lang w:val="en-US"/>
              </w:rPr>
              <w:t>Large intestine measures around 1.5 m in size.</w:t>
            </w:r>
          </w:p>
          <w:p>
            <w:pPr>
              <w:pStyle w:val="style0"/>
              <w:spacing w:lineRule="auto" w:line="360"/>
              <w:rPr>
                <w:rFonts w:cs="Times New Roman" w:hAnsi="Times New Roman"/>
                <w:color w:val="36363d"/>
                <w:sz w:val="24"/>
                <w:szCs w:val="24"/>
                <w:highlight w:val="none"/>
                <w:lang w:val="en-US"/>
              </w:rPr>
            </w:pPr>
          </w:p>
        </w:tc>
      </w:tr>
      <w:tr>
        <w:tblPrEx/>
        <w:trPr>
          <w:trHeight w:val="532" w:hRule="atLeast"/>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Parts</w:t>
            </w:r>
            <w:r>
              <w:rPr>
                <w:rFonts w:cs="Times New Roman" w:hAnsi="Times New Roman"/>
                <w:color w:val="36363d"/>
                <w:sz w:val="24"/>
                <w:szCs w:val="24"/>
                <w:highlight w:val="none"/>
                <w:lang w:val="en-US"/>
              </w:rPr>
              <w:tab/>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It has three parts, which are duodenum, jejunum and ileum.</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It has four parts, which are colon, rectum, caecum and anal canal.</w:t>
            </w:r>
          </w:p>
        </w:tc>
      </w:tr>
      <w:tr>
        <w:tblPrEx/>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Circular folds</w:t>
            </w:r>
            <w:r>
              <w:rPr>
                <w:rFonts w:cs="Times New Roman" w:hAnsi="Times New Roman"/>
                <w:color w:val="36363d"/>
                <w:sz w:val="24"/>
                <w:szCs w:val="24"/>
                <w:highlight w:val="none"/>
                <w:lang w:val="en-US"/>
              </w:rPr>
              <w:tab/>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Internal surface of small intestine has circular folds, also called as 'palicae circulares'.</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Circular folds are absent.</w:t>
            </w:r>
          </w:p>
        </w:tc>
      </w:tr>
      <w:tr>
        <w:tblPrEx/>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Presence of villi </w:t>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Villi are present </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Villi are absent </w:t>
            </w:r>
          </w:p>
        </w:tc>
      </w:tr>
      <w:tr>
        <w:tblPrEx/>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Peter patches </w:t>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Peter patches are present </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Peter patches are absent </w:t>
            </w:r>
          </w:p>
        </w:tc>
      </w:tr>
      <w:tr>
        <w:tblPrEx/>
        <w:trPr>
          <w:trHeight w:val="1468" w:hRule="atLeast"/>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Muscle bands</w:t>
            </w:r>
            <w:r>
              <w:rPr>
                <w:rFonts w:cs="Times New Roman" w:hAnsi="Times New Roman"/>
                <w:color w:val="36363d"/>
                <w:sz w:val="24"/>
                <w:szCs w:val="24"/>
                <w:highlight w:val="none"/>
                <w:lang w:val="en-US"/>
              </w:rPr>
              <w:tab/>
            </w:r>
            <w:r>
              <w:rPr>
                <w:rFonts w:cs="Times New Roman" w:hAnsi="Times New Roman"/>
                <w:color w:val="36363d"/>
                <w:sz w:val="24"/>
                <w:szCs w:val="24"/>
                <w:highlight w:val="none"/>
                <w:lang w:val="en-US"/>
              </w:rPr>
              <w:tab/>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It forms the layer of continuous bands of muscles around it.</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It is reduced to three types of muscles bands called as taeniae coli.</w:t>
            </w:r>
          </w:p>
        </w:tc>
      </w:tr>
      <w:tr>
        <w:tblPrEx/>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Hastura</w:t>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Absent </w:t>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Present </w:t>
            </w:r>
          </w:p>
        </w:tc>
      </w:tr>
      <w:tr>
        <w:tblPrEx/>
        <w:trPr/>
        <w:tc>
          <w:tcPr>
            <w:tcW w:w="3383"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Epiploic appendages</w:t>
            </w:r>
            <w:r>
              <w:rPr>
                <w:rFonts w:cs="Times New Roman" w:hAnsi="Times New Roman"/>
                <w:color w:val="36363d"/>
                <w:sz w:val="24"/>
                <w:szCs w:val="24"/>
                <w:highlight w:val="none"/>
                <w:lang w:val="en-US"/>
              </w:rPr>
              <w:tab/>
            </w:r>
          </w:p>
        </w:tc>
        <w:tc>
          <w:tcPr>
            <w:tcW w:w="3027"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Epipolic apppedages is absent in small intestine.</w:t>
            </w:r>
            <w:r>
              <w:rPr>
                <w:color w:val="36363d"/>
                <w:sz w:val="24"/>
                <w:szCs w:val="24"/>
                <w:highlight w:val="none"/>
              </w:rPr>
              <w:tab/>
            </w:r>
          </w:p>
        </w:tc>
        <w:tc>
          <w:tcPr>
            <w:tcW w:w="3120" w:type="dxa"/>
            <w:tcBorders>
              <w:top w:val="single" w:sz="4" w:space="0" w:color="auto"/>
              <w:left w:val="single" w:sz="4" w:space="0" w:color="auto"/>
              <w:bottom w:val="single" w:sz="4" w:space="0" w:color="auto"/>
              <w:right w:val="single" w:sz="4" w:space="0" w:color="auto"/>
            </w:tcBorders>
          </w:tcPr>
          <w:p>
            <w:pPr>
              <w:pStyle w:val="style0"/>
              <w:spacing w:lineRule="auto" w:line="360"/>
              <w:rPr>
                <w:rFonts w:cs="Times New Roman" w:hAnsi="Times New Roman"/>
                <w:color w:val="36363d"/>
                <w:sz w:val="24"/>
                <w:szCs w:val="24"/>
                <w:highlight w:val="none"/>
                <w:lang w:val="en-US"/>
              </w:rPr>
            </w:pPr>
            <w:r>
              <w:rPr>
                <w:rFonts w:cs="Times New Roman" w:hAnsi="Times New Roman" w:hint="default"/>
                <w:color w:val="36363d"/>
                <w:sz w:val="24"/>
                <w:szCs w:val="24"/>
                <w:highlight w:val="none"/>
                <w:lang w:val="en-US"/>
              </w:rPr>
              <w:t>Epipolic appendages are present</w:t>
            </w:r>
          </w:p>
        </w:tc>
      </w:tr>
    </w:tbl>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r>
        <w:rPr>
          <w:rFonts w:cs="Times New Roman" w:hAnsi="Times New Roman"/>
          <w:b/>
          <w:bCs/>
          <w:color w:val="36363d"/>
          <w:sz w:val="24"/>
          <w:szCs w:val="24"/>
          <w:highlight w:val="none"/>
          <w:u w:val="single"/>
          <w:lang w:val="en-US"/>
        </w:rPr>
        <w:t>Large intestine</w:t>
      </w:r>
      <w:r>
        <w:rPr>
          <w:rFonts w:cs="Times New Roman" w:hAnsi="Times New Roman"/>
          <w:color w:val="36363d"/>
          <w:sz w:val="24"/>
          <w:szCs w:val="24"/>
          <w:highlight w:val="none"/>
          <w:lang w:val="en-US"/>
        </w:rPr>
        <w:t xml:space="preserve">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Consists of the cecum, colon, anal</w:t>
      </w:r>
      <w:r>
        <w:rPr>
          <w:rFonts w:cs="Times New Roman" w:hAnsi="Times New Roman"/>
          <w:color w:val="36363d"/>
          <w:sz w:val="24"/>
          <w:szCs w:val="24"/>
          <w:highlight w:val="none"/>
          <w:lang w:val="en-US"/>
        </w:rPr>
        <w:t xml:space="preserve"> canal and rectum</w:t>
      </w:r>
      <w:r>
        <w:rPr>
          <w:rFonts w:cs="Times New Roman" w:hAnsi="Times New Roman"/>
          <w:color w:val="36363d"/>
          <w:sz w:val="24"/>
          <w:szCs w:val="24"/>
          <w:highlight w:val="none"/>
          <w:lang w:val="en-US"/>
        </w:rPr>
        <w:t>.</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The colon is further subdivided on the basis of its </w:t>
      </w:r>
      <w:r>
        <w:rPr>
          <w:rFonts w:cs="Times New Roman" w:hAnsi="Times New Roman"/>
          <w:color w:val="36363d"/>
          <w:sz w:val="24"/>
          <w:szCs w:val="24"/>
          <w:highlight w:val="none"/>
          <w:lang w:val="en-US"/>
        </w:rPr>
        <w:t xml:space="preserve">anatomic location into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ascending colon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transverse colon</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descending colon</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sigmoid colon.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The four layers characteristic of the alimentary canal are </w:t>
      </w:r>
      <w:r>
        <w:rPr>
          <w:rFonts w:cs="Times New Roman" w:hAnsi="Times New Roman"/>
          <w:color w:val="36363d"/>
          <w:sz w:val="24"/>
          <w:szCs w:val="24"/>
          <w:highlight w:val="none"/>
          <w:lang w:val="en-US"/>
        </w:rPr>
        <w:t>present throughout.</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However, several distinctive features exist at the gross </w:t>
      </w:r>
      <w:r>
        <w:rPr>
          <w:rFonts w:cs="Times New Roman" w:hAnsi="Times New Roman"/>
          <w:color w:val="36363d"/>
          <w:sz w:val="24"/>
          <w:szCs w:val="24"/>
          <w:highlight w:val="none"/>
          <w:lang w:val="en-US"/>
        </w:rPr>
        <w:t>level</w:t>
      </w: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Teniae coli represent three narrowed, thickened, equally </w:t>
      </w:r>
      <w:r>
        <w:rPr>
          <w:rFonts w:cs="Times New Roman" w:hAnsi="Times New Roman"/>
          <w:color w:val="36363d"/>
          <w:sz w:val="24"/>
          <w:szCs w:val="24"/>
          <w:highlight w:val="none"/>
          <w:lang w:val="en-US"/>
        </w:rPr>
        <w:t xml:space="preserve">spaced bands of the outer longitudinal layer of the </w:t>
      </w:r>
      <w:r>
        <w:rPr>
          <w:rFonts w:cs="Times New Roman" w:hAnsi="Times New Roman"/>
          <w:color w:val="36363d"/>
          <w:sz w:val="24"/>
          <w:szCs w:val="24"/>
          <w:highlight w:val="none"/>
          <w:lang w:val="en-US"/>
        </w:rPr>
        <w:t>muscularis externa.</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They are primarily visible in the cecum and colon and they </w:t>
      </w:r>
      <w:r>
        <w:rPr>
          <w:rFonts w:cs="Times New Roman" w:hAnsi="Times New Roman"/>
          <w:color w:val="36363d"/>
          <w:sz w:val="24"/>
          <w:szCs w:val="24"/>
          <w:highlight w:val="none"/>
          <w:lang w:val="en-US"/>
        </w:rPr>
        <w:t xml:space="preserve">are absent in the rectum, anal canal and vermiform </w:t>
      </w:r>
      <w:r>
        <w:rPr>
          <w:rFonts w:cs="Times New Roman" w:hAnsi="Times New Roman"/>
          <w:color w:val="36363d"/>
          <w:sz w:val="24"/>
          <w:szCs w:val="24"/>
          <w:highlight w:val="none"/>
          <w:lang w:val="en-US"/>
        </w:rPr>
        <w:t>appendix.</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 Haustra coli are visible sacculations between the teniae</w:t>
      </w:r>
      <w:r>
        <w:rPr>
          <w:rFonts w:cs="Times New Roman" w:hAnsi="Times New Roman"/>
          <w:color w:val="36363d"/>
          <w:sz w:val="24"/>
          <w:szCs w:val="24"/>
          <w:highlight w:val="none"/>
          <w:lang w:val="en-US"/>
        </w:rPr>
        <w:t xml:space="preserve"> </w:t>
      </w:r>
      <w:r>
        <w:rPr>
          <w:rFonts w:cs="Times New Roman" w:hAnsi="Times New Roman"/>
          <w:color w:val="36363d"/>
          <w:sz w:val="24"/>
          <w:szCs w:val="24"/>
          <w:highlight w:val="none"/>
          <w:lang w:val="en-US"/>
        </w:rPr>
        <w:t>coli on the external surface of the cecum and colon.</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 Omental appendices are small fatty projections of the </w:t>
      </w:r>
      <w:r>
        <w:rPr>
          <w:rFonts w:cs="Times New Roman" w:hAnsi="Times New Roman"/>
          <w:color w:val="36363d"/>
          <w:sz w:val="24"/>
          <w:szCs w:val="24"/>
          <w:highlight w:val="none"/>
          <w:lang w:val="en-US"/>
        </w:rPr>
        <w:t>serosa, observed on the outer surface of the colon.</w:t>
      </w:r>
    </w:p>
    <w:p>
      <w:pPr>
        <w:pStyle w:val="style0"/>
        <w:spacing w:lineRule="auto" w:line="360"/>
        <w:rPr>
          <w:rFonts w:cs="Times New Roman" w:hAnsi="Times New Roman"/>
          <w:b/>
          <w:bCs/>
          <w:color w:val="36363d"/>
          <w:sz w:val="24"/>
          <w:szCs w:val="24"/>
          <w:highlight w:val="none"/>
          <w:u w:val="single"/>
          <w:lang w:val="en-US"/>
        </w:rPr>
      </w:pP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 xml:space="preserve">Cecum and colon </w:t>
      </w:r>
    </w:p>
    <w:p>
      <w:pPr>
        <w:pStyle w:val="style0"/>
        <w:spacing w:lineRule="auto" w:line="360"/>
        <w:jc w:val="left"/>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The mucosa of the cecum and colon lacks villi and posseses no special folds.</w:t>
      </w:r>
    </w:p>
    <w:p>
      <w:pPr>
        <w:pStyle w:val="style0"/>
        <w:spacing w:lineRule="auto" w:line="360"/>
        <w:jc w:val="left"/>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The epithelium of the cecum and colon is simple columnar with many goblet cells, numerous absortbtive cells and some DNES cells.</w:t>
      </w:r>
    </w:p>
    <w:p>
      <w:pPr>
        <w:pStyle w:val="style0"/>
        <w:spacing w:lineRule="auto" w:line="360"/>
        <w:jc w:val="left"/>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The lamina propria posseses lymphoid nodules, blood and lymph vessels, and closely packed crypts of Lieberkühn, which lack Paneth cells.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B)The muscularis external consists of an inner circular and an outer longitudinal layer of smooth muscle cells.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B) The submucosa of the cecum and colon consists of fibroelastic connective tissue.</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D) External layer of the cecum and colon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Aventicia covers the ascending and descending portions of the colon</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Serosa covers the cecum and the remaining part of the colon. </w:t>
      </w:r>
    </w:p>
    <w:p>
      <w:pPr>
        <w:pStyle w:val="style0"/>
        <w:spacing w:lineRule="auto" w:line="360"/>
        <w:rPr>
          <w:rFonts w:cs="Times New Roman" w:hAnsi="Times New Roman"/>
          <w:b/>
          <w:bCs/>
          <w:color w:val="36363d"/>
          <w:sz w:val="24"/>
          <w:szCs w:val="24"/>
          <w:highlight w:val="none"/>
          <w:lang w:val="en-US"/>
        </w:rPr>
      </w:pP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 xml:space="preserve">The rectum and the Anal canal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Is similar  to the colon but contains fewer and deeper crypts of Lieberkühn</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The anal mucosa displays longitudinal folds called anal columns (or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rectal columns of Morgagni), which join each other to form anal valves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The regions between adjacent valves are known as anal sinuses.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(A) Epithelium of the anal canal</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(I) is simple columnar changing to simple cuboidal proximal to the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anal valves.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(ii) is stratified squamous nonkeratinized distal to the anal valves.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(iii) changes to stratified squamous keratinized (epidermis) at the anus.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(B) The lamina propria is composed of fibroelastic connective tissue and contains sebaceous glands, circumanal glands, hair follicles, and large veins.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(3)The muscularis mucosae consists of an inner circular and an outer longitudinal layer of smooth muscle, both of which terminate at the anal valves.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The anal submucosa is composed of dense, irregular fibroelastic connective tissue that houses large veins.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The anal muscularis externa is composed of an inner circular and an outer longitudinal layer of smooth muscle. The inner circular layer forms the internal anal sphincter.</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Anal adventitia attaches the anus to surrounding structures.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The external anal sphincter is composed of skeletal muscle whose superficial and deep layers invest the anal canal.</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It exhibits continuous tonus, thus maintaining a closed anal orifice.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The degree of tonus is under voluntary control, so the retention or evacuation of feces normally can be controlled at will.</w:t>
      </w: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Small intestine</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Consists of 3 parts;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Duodenum</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Jejunum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Illeum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Duodenum (25 cm long) is the first, shortest, and widest </w:t>
      </w:r>
      <w:r>
        <w:rPr>
          <w:rFonts w:cs="Times New Roman" w:hAnsi="Times New Roman"/>
          <w:color w:val="36363d"/>
          <w:sz w:val="24"/>
          <w:szCs w:val="24"/>
          <w:highlight w:val="none"/>
          <w:lang w:val="en-US"/>
        </w:rPr>
        <w:t xml:space="preserve">part of the small intestine.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It begins at the pylorus of the stomach and ends at the </w:t>
      </w:r>
      <w:r>
        <w:rPr>
          <w:rFonts w:cs="Times New Roman" w:hAnsi="Times New Roman"/>
          <w:color w:val="36363d"/>
          <w:sz w:val="24"/>
          <w:szCs w:val="24"/>
          <w:highlight w:val="none"/>
          <w:lang w:val="en-US"/>
        </w:rPr>
        <w:t>duodenojejunal junction.</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Jejunum (2.5 m long) begins at the duodenojejunal</w:t>
      </w:r>
      <w:r>
        <w:rPr>
          <w:rFonts w:cs="Times New Roman" w:hAnsi="Times New Roman"/>
          <w:color w:val="36363d"/>
          <w:sz w:val="24"/>
          <w:szCs w:val="24"/>
          <w:highlight w:val="none"/>
          <w:lang w:val="en-US"/>
        </w:rPr>
        <w:t xml:space="preserve">junction and constitutes the upper two fifths of the </w:t>
      </w:r>
      <w:r>
        <w:rPr>
          <w:rFonts w:cs="Times New Roman" w:hAnsi="Times New Roman"/>
          <w:color w:val="36363d"/>
          <w:sz w:val="24"/>
          <w:szCs w:val="24"/>
          <w:highlight w:val="none"/>
          <w:lang w:val="en-US"/>
        </w:rPr>
        <w:t xml:space="preserve">small intestine.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It gradually changes its morphologic characteristics to </w:t>
      </w:r>
      <w:r>
        <w:rPr>
          <w:rFonts w:cs="Times New Roman" w:hAnsi="Times New Roman"/>
          <w:color w:val="36363d"/>
          <w:sz w:val="24"/>
          <w:szCs w:val="24"/>
          <w:highlight w:val="none"/>
          <w:lang w:val="en-US"/>
        </w:rPr>
        <w:t>become the ileum</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Ileum (3.5 m long) is a continuation of the jejunum and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constitutes the lower three fifths of the small intestine.</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It ends at the ileocecal junction, the union of the distal </w:t>
      </w:r>
      <w:r>
        <w:rPr>
          <w:rFonts w:cs="Times New Roman" w:hAnsi="Times New Roman"/>
          <w:color w:val="36363d"/>
          <w:sz w:val="24"/>
          <w:szCs w:val="24"/>
          <w:highlight w:val="none"/>
          <w:lang w:val="en-US"/>
        </w:rPr>
        <w:t>ileum and cecum</w:t>
      </w: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FUNCTION</w:t>
      </w:r>
      <w:r>
        <w:rPr>
          <w:rFonts w:cs="Times New Roman" w:hAnsi="Times New Roman"/>
          <w:color w:val="36363d"/>
          <w:sz w:val="24"/>
          <w:szCs w:val="24"/>
          <w:highlight w:val="none"/>
          <w:lang w:val="en-US"/>
        </w:rPr>
        <w:t>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The small intestine is the the principal site for the </w:t>
      </w:r>
      <w:r>
        <w:rPr>
          <w:rFonts w:cs="Times New Roman" w:hAnsi="Times New Roman"/>
          <w:color w:val="36363d"/>
          <w:sz w:val="24"/>
          <w:szCs w:val="24"/>
          <w:highlight w:val="none"/>
          <w:lang w:val="en-US"/>
        </w:rPr>
        <w:t xml:space="preserve">digestion of food, nutrient absorption, and endocrine </w:t>
      </w:r>
      <w:r>
        <w:rPr>
          <w:rFonts w:cs="Times New Roman" w:hAnsi="Times New Roman"/>
          <w:color w:val="36363d"/>
          <w:sz w:val="24"/>
          <w:szCs w:val="24"/>
          <w:highlight w:val="none"/>
          <w:lang w:val="en-US"/>
        </w:rPr>
        <w:t xml:space="preserve">secretion. </w:t>
      </w:r>
      <w:r>
        <w:rPr>
          <w:rFonts w:cs="Times New Roman" w:hAnsi="Times New Roman"/>
          <w:color w:val="36363d"/>
          <w:sz w:val="24"/>
          <w:szCs w:val="24"/>
          <w:highlight w:val="none"/>
          <w:lang w:val="en-US"/>
        </w:rPr>
        <w:cr/>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The processes of digestion are completed in the small </w:t>
      </w:r>
      <w:r>
        <w:rPr>
          <w:rFonts w:cs="Times New Roman" w:hAnsi="Times New Roman"/>
          <w:color w:val="36363d"/>
          <w:sz w:val="24"/>
          <w:szCs w:val="24"/>
          <w:highlight w:val="none"/>
          <w:lang w:val="en-US"/>
        </w:rPr>
        <w:t xml:space="preserve">intestine, where the nutrients are absorbed by cells of the </w:t>
      </w:r>
      <w:r>
        <w:rPr>
          <w:rFonts w:cs="Times New Roman" w:hAnsi="Times New Roman"/>
          <w:color w:val="36363d"/>
          <w:sz w:val="24"/>
          <w:szCs w:val="24"/>
          <w:highlight w:val="none"/>
          <w:lang w:val="en-US"/>
        </w:rPr>
        <w:t xml:space="preserve">epithelial lining. </w:t>
      </w: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val="false"/>
          <w:bCs w:val="false"/>
          <w:color w:val="36363d"/>
          <w:sz w:val="24"/>
          <w:szCs w:val="24"/>
          <w:highlight w:val="none"/>
          <w:u w:val="none"/>
          <w:lang w:val="en-US"/>
        </w:rPr>
        <w:t xml:space="preserve">Chyme from the stomach enters the duodenum, where enzymes </w:t>
      </w:r>
      <w:r>
        <w:rPr>
          <w:rFonts w:cs="Times New Roman" w:hAnsi="Times New Roman"/>
          <w:b w:val="false"/>
          <w:bCs w:val="false"/>
          <w:color w:val="36363d"/>
          <w:sz w:val="24"/>
          <w:szCs w:val="24"/>
          <w:highlight w:val="none"/>
          <w:u w:val="none"/>
          <w:lang w:val="en-US"/>
        </w:rPr>
        <w:t xml:space="preserve">from the pancreas and bile from the liver are also delivered to </w:t>
      </w:r>
      <w:r>
        <w:rPr>
          <w:rFonts w:cs="Times New Roman" w:hAnsi="Times New Roman"/>
          <w:b w:val="false"/>
          <w:bCs w:val="false"/>
          <w:color w:val="36363d"/>
          <w:sz w:val="24"/>
          <w:szCs w:val="24"/>
          <w:highlight w:val="none"/>
          <w:u w:val="none"/>
          <w:lang w:val="en-US"/>
        </w:rPr>
        <w:t>continue the solubilization and digestion process.</w:t>
      </w:r>
      <w:r>
        <w:rPr>
          <w:rFonts w:cs="Times New Roman" w:hAnsi="Times New Roman"/>
          <w:b w:val="false"/>
          <w:bCs w:val="false"/>
          <w:color w:val="36363d"/>
          <w:sz w:val="24"/>
          <w:szCs w:val="24"/>
          <w:highlight w:val="none"/>
          <w:u w:val="none"/>
          <w:lang w:val="en-US"/>
        </w:rPr>
        <w:cr/>
      </w:r>
      <w:r>
        <w:rPr>
          <w:rFonts w:cs="Times New Roman" w:hAnsi="Times New Roman"/>
          <w:b w:val="false"/>
          <w:bCs w:val="false"/>
          <w:color w:val="36363d"/>
          <w:sz w:val="24"/>
          <w:szCs w:val="24"/>
          <w:highlight w:val="none"/>
          <w:u w:val="none"/>
          <w:lang w:val="en-US"/>
        </w:rPr>
        <w:t xml:space="preserve">• Enzymes, particularly disaccharidases and dipeptidases are </w:t>
      </w:r>
      <w:r>
        <w:rPr>
          <w:rFonts w:cs="Times New Roman" w:hAnsi="Times New Roman"/>
          <w:b w:val="false"/>
          <w:bCs w:val="false"/>
          <w:color w:val="36363d"/>
          <w:sz w:val="24"/>
          <w:szCs w:val="24"/>
          <w:highlight w:val="none"/>
          <w:u w:val="none"/>
          <w:lang w:val="en-US"/>
        </w:rPr>
        <w:t xml:space="preserve">also located in the glycocalyx of the microvilli of the </w:t>
      </w:r>
      <w:r>
        <w:rPr>
          <w:rFonts w:cs="Times New Roman" w:hAnsi="Times New Roman"/>
          <w:b w:val="false"/>
          <w:bCs w:val="false"/>
          <w:color w:val="36363d"/>
          <w:sz w:val="24"/>
          <w:szCs w:val="24"/>
          <w:highlight w:val="none"/>
          <w:u w:val="none"/>
          <w:lang w:val="en-US"/>
        </w:rPr>
        <w:t xml:space="preserve">enterocytes, the intestinal absorptive cells. </w:t>
      </w:r>
      <w:r>
        <w:rPr>
          <w:rFonts w:cs="Times New Roman" w:hAnsi="Times New Roman"/>
          <w:b w:val="false"/>
          <w:bCs w:val="false"/>
          <w:color w:val="36363d"/>
          <w:sz w:val="24"/>
          <w:szCs w:val="24"/>
          <w:highlight w:val="none"/>
          <w:u w:val="none"/>
          <w:lang w:val="en-US"/>
        </w:rPr>
        <w:cr/>
      </w:r>
      <w:r>
        <w:rPr>
          <w:rFonts w:cs="Times New Roman" w:hAnsi="Times New Roman"/>
          <w:b w:val="false"/>
          <w:bCs w:val="false"/>
          <w:color w:val="36363d"/>
          <w:sz w:val="24"/>
          <w:szCs w:val="24"/>
          <w:highlight w:val="none"/>
          <w:u w:val="none"/>
          <w:lang w:val="en-US"/>
        </w:rPr>
        <w:t>• These enzymes contribute to the digestive process by</w:t>
      </w:r>
      <w:r>
        <w:rPr>
          <w:rFonts w:cs="Times New Roman" w:hAnsi="Times New Roman"/>
          <w:b w:val="false"/>
          <w:bCs w:val="false"/>
          <w:color w:val="36363d"/>
          <w:sz w:val="24"/>
          <w:szCs w:val="24"/>
          <w:highlight w:val="none"/>
          <w:u w:val="none"/>
          <w:lang w:val="en-US"/>
        </w:rPr>
        <w:t xml:space="preserve">completing the breakdown of most sugars and proteins to </w:t>
      </w:r>
      <w:r>
        <w:rPr>
          <w:rFonts w:cs="Times New Roman" w:hAnsi="Times New Roman"/>
          <w:b w:val="false"/>
          <w:bCs w:val="false"/>
          <w:color w:val="36363d"/>
          <w:sz w:val="24"/>
          <w:szCs w:val="24"/>
          <w:highlight w:val="none"/>
          <w:u w:val="none"/>
          <w:lang w:val="en-US"/>
        </w:rPr>
        <w:t>monosaccharides and amino acids, which are then absorbed</w:t>
      </w:r>
      <w:r>
        <w:rPr>
          <w:rFonts w:cs="Times New Roman" w:hAnsi="Times New Roman"/>
          <w:b w:val="false"/>
          <w:bCs w:val="false"/>
          <w:color w:val="36363d"/>
          <w:sz w:val="24"/>
          <w:szCs w:val="24"/>
          <w:highlight w:val="none"/>
          <w:u w:val="none"/>
          <w:lang w:val="en-US"/>
        </w:rPr>
        <w:cr/>
      </w:r>
      <w:r>
        <w:rPr>
          <w:rFonts w:cs="Times New Roman" w:hAnsi="Times New Roman"/>
          <w:b w:val="false"/>
          <w:bCs w:val="false"/>
          <w:color w:val="36363d"/>
          <w:sz w:val="24"/>
          <w:szCs w:val="24"/>
          <w:highlight w:val="none"/>
          <w:u w:val="none"/>
          <w:lang w:val="en-US"/>
        </w:rPr>
        <w:t xml:space="preserve">• Water and electrolytes that reach the small intestine with the </w:t>
      </w:r>
      <w:r>
        <w:rPr>
          <w:rFonts w:cs="Times New Roman" w:hAnsi="Times New Roman"/>
          <w:b w:val="false"/>
          <w:bCs w:val="false"/>
          <w:color w:val="36363d"/>
          <w:sz w:val="24"/>
          <w:szCs w:val="24"/>
          <w:highlight w:val="none"/>
          <w:u w:val="none"/>
          <w:lang w:val="en-US"/>
        </w:rPr>
        <w:t>chyme and pancreatic and hepatic secretions are also</w:t>
      </w:r>
      <w:r>
        <w:rPr>
          <w:rFonts w:cs="Times New Roman" w:hAnsi="Times New Roman"/>
          <w:b w:val="false"/>
          <w:bCs w:val="false"/>
          <w:color w:val="36363d"/>
          <w:sz w:val="24"/>
          <w:szCs w:val="24"/>
          <w:highlight w:val="none"/>
          <w:u w:val="none"/>
          <w:lang w:val="en-US"/>
        </w:rPr>
        <w:t xml:space="preserve">reabsorbed in the small intestine, particularly in the distal </w:t>
      </w:r>
      <w:r>
        <w:rPr>
          <w:rFonts w:cs="Times New Roman" w:hAnsi="Times New Roman"/>
          <w:b w:val="false"/>
          <w:bCs w:val="false"/>
          <w:color w:val="36363d"/>
          <w:sz w:val="24"/>
          <w:szCs w:val="24"/>
          <w:highlight w:val="none"/>
          <w:u w:val="none"/>
          <w:lang w:val="en-US"/>
        </w:rPr>
        <w:t>portion</w:t>
      </w:r>
      <w:r>
        <w:rPr>
          <w:rFonts w:cs="Times New Roman" w:hAnsi="Times New Roman"/>
          <w:b/>
          <w:bCs/>
          <w:color w:val="36363d"/>
          <w:sz w:val="24"/>
          <w:szCs w:val="24"/>
          <w:highlight w:val="none"/>
          <w:u w:val="single"/>
          <w:lang w:val="en-US"/>
        </w:rPr>
        <w:t>.</w:t>
      </w: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 xml:space="preserve">Luminal surface </w:t>
      </w:r>
      <w:r>
        <w:rPr>
          <w:rFonts w:cs="Times New Roman" w:hAnsi="Times New Roman"/>
          <w:b/>
          <w:bCs/>
          <w:color w:val="36363d"/>
          <w:sz w:val="24"/>
          <w:szCs w:val="24"/>
          <w:highlight w:val="none"/>
          <w:u w:val="single"/>
          <w:lang w:val="en-US"/>
        </w:rPr>
        <w:t>modifications</w:t>
      </w:r>
      <w:r>
        <w:rPr>
          <w:rFonts w:cs="Times New Roman" w:hAnsi="Times New Roman"/>
          <w:b/>
          <w:bCs/>
          <w:color w:val="36363d"/>
          <w:sz w:val="24"/>
          <w:szCs w:val="24"/>
          <w:highlight w:val="none"/>
          <w:u w:val="single"/>
          <w:lang w:val="en-US"/>
        </w:rPr>
        <w:cr/>
      </w:r>
      <w:r>
        <w:rPr>
          <w:rFonts w:cs="Times New Roman" w:hAnsi="Times New Roman"/>
          <w:b w:val="false"/>
          <w:bCs w:val="false"/>
          <w:color w:val="36363d"/>
          <w:sz w:val="24"/>
          <w:szCs w:val="24"/>
          <w:highlight w:val="none"/>
          <w:u w:val="none"/>
          <w:lang w:val="en-US"/>
        </w:rPr>
        <w:t xml:space="preserve">• possesses plicae circulares, intestinal villi, and microvilli, </w:t>
      </w:r>
      <w:r>
        <w:rPr>
          <w:rFonts w:cs="Times New Roman" w:hAnsi="Times New Roman"/>
          <w:b w:val="false"/>
          <w:bCs w:val="false"/>
          <w:color w:val="36363d"/>
          <w:sz w:val="24"/>
          <w:szCs w:val="24"/>
          <w:highlight w:val="none"/>
          <w:u w:val="none"/>
          <w:lang w:val="en-US"/>
        </w:rPr>
        <w:t xml:space="preserve">which collectively increase the luminal surface area by a </w:t>
      </w:r>
      <w:r>
        <w:rPr>
          <w:rFonts w:cs="Times New Roman" w:hAnsi="Times New Roman"/>
          <w:b w:val="false"/>
          <w:bCs w:val="false"/>
          <w:color w:val="36363d"/>
          <w:sz w:val="24"/>
          <w:szCs w:val="24"/>
          <w:highlight w:val="none"/>
          <w:u w:val="none"/>
          <w:lang w:val="en-US"/>
        </w:rPr>
        <w:t>factor of 400 to 600.</w:t>
      </w:r>
      <w:r>
        <w:rPr>
          <w:rFonts w:cs="Times New Roman" w:hAnsi="Times New Roman"/>
          <w:b w:val="false"/>
          <w:bCs w:val="false"/>
          <w:color w:val="36363d"/>
          <w:sz w:val="24"/>
          <w:szCs w:val="24"/>
          <w:highlight w:val="none"/>
          <w:u w:val="none"/>
          <w:lang w:val="en-US"/>
        </w:rPr>
        <w:cr/>
      </w:r>
      <w:r>
        <w:rPr>
          <w:rFonts w:cs="Times New Roman" w:hAnsi="Times New Roman"/>
          <w:b w:val="false"/>
          <w:bCs w:val="false"/>
          <w:color w:val="36363d"/>
          <w:sz w:val="24"/>
          <w:szCs w:val="24"/>
          <w:highlight w:val="none"/>
          <w:u w:val="none"/>
          <w:lang w:val="en-US"/>
        </w:rPr>
        <w:t xml:space="preserve">• a. Plicae circulares or circular fold (valves of Kerckring) </w:t>
      </w:r>
      <w:r>
        <w:rPr>
          <w:rFonts w:cs="Times New Roman" w:hAnsi="Times New Roman"/>
          <w:b w:val="false"/>
          <w:bCs w:val="false"/>
          <w:color w:val="36363d"/>
          <w:sz w:val="24"/>
          <w:szCs w:val="24"/>
          <w:highlight w:val="none"/>
          <w:u w:val="none"/>
          <w:lang w:val="en-US"/>
        </w:rPr>
        <w:cr/>
      </w:r>
      <w:r>
        <w:rPr>
          <w:rFonts w:cs="Times New Roman" w:hAnsi="Times New Roman"/>
          <w:b w:val="false"/>
          <w:bCs w:val="false"/>
          <w:color w:val="36363d"/>
          <w:sz w:val="24"/>
          <w:szCs w:val="24"/>
          <w:highlight w:val="none"/>
          <w:u w:val="none"/>
          <w:lang w:val="en-US"/>
        </w:rPr>
        <w:t xml:space="preserve">are permanent spiral folds of the mucosa and submucosa that </w:t>
      </w:r>
      <w:r>
        <w:rPr>
          <w:rFonts w:cs="Times New Roman" w:hAnsi="Times New Roman"/>
          <w:b w:val="false"/>
          <w:bCs w:val="false"/>
          <w:color w:val="36363d"/>
          <w:sz w:val="24"/>
          <w:szCs w:val="24"/>
          <w:highlight w:val="none"/>
          <w:u w:val="none"/>
          <w:lang w:val="en-US"/>
        </w:rPr>
        <w:t xml:space="preserve">are present in the distal half of the duodenum, the entire </w:t>
      </w:r>
      <w:r>
        <w:rPr>
          <w:rFonts w:cs="Times New Roman" w:hAnsi="Times New Roman"/>
          <w:b w:val="false"/>
          <w:bCs w:val="false"/>
          <w:color w:val="36363d"/>
          <w:sz w:val="24"/>
          <w:szCs w:val="24"/>
          <w:highlight w:val="none"/>
          <w:u w:val="none"/>
          <w:lang w:val="en-US"/>
        </w:rPr>
        <w:t>jejunum and the proximal half of the ileum.</w:t>
      </w:r>
      <w:r>
        <w:rPr>
          <w:rFonts w:cs="Times New Roman" w:hAnsi="Times New Roman"/>
          <w:b w:val="false"/>
          <w:bCs w:val="false"/>
          <w:color w:val="36363d"/>
          <w:sz w:val="24"/>
          <w:szCs w:val="24"/>
          <w:highlight w:val="none"/>
          <w:u w:val="none"/>
          <w:lang w:val="en-US"/>
        </w:rPr>
        <w:cr/>
      </w:r>
      <w:r>
        <w:rPr>
          <w:rFonts w:cs="Times New Roman" w:hAnsi="Times New Roman"/>
          <w:b w:val="false"/>
          <w:bCs w:val="false"/>
          <w:color w:val="36363d"/>
          <w:sz w:val="24"/>
          <w:szCs w:val="24"/>
          <w:highlight w:val="none"/>
          <w:u w:val="none"/>
          <w:lang w:val="en-US"/>
        </w:rPr>
        <w:t>• Plicae circulares increase the surface area twofold to</w:t>
      </w:r>
      <w:r>
        <w:rPr>
          <w:rFonts w:cs="Times New Roman" w:hAnsi="Times New Roman"/>
          <w:b w:val="false"/>
          <w:bCs w:val="false"/>
          <w:color w:val="36363d"/>
          <w:sz w:val="24"/>
          <w:szCs w:val="24"/>
          <w:highlight w:val="none"/>
          <w:u w:val="none"/>
          <w:lang w:val="en-US"/>
        </w:rPr>
        <w:t>threefold.</w:t>
      </w:r>
      <w:r>
        <w:rPr>
          <w:rFonts w:cs="Times New Roman" w:hAnsi="Times New Roman"/>
          <w:b w:val="false"/>
          <w:bCs w:val="false"/>
          <w:color w:val="36363d"/>
          <w:sz w:val="24"/>
          <w:szCs w:val="24"/>
          <w:highlight w:val="none"/>
          <w:u w:val="none"/>
          <w:lang w:val="en-US"/>
        </w:rPr>
        <w:cr/>
      </w:r>
      <w:r>
        <w:rPr>
          <w:rFonts w:cs="Times New Roman" w:hAnsi="Times New Roman"/>
          <w:b w:val="false"/>
          <w:bCs w:val="false"/>
          <w:color w:val="36363d"/>
          <w:sz w:val="24"/>
          <w:szCs w:val="24"/>
          <w:highlight w:val="none"/>
          <w:u w:val="none"/>
          <w:lang w:val="en-US"/>
        </w:rPr>
        <w:t xml:space="preserve">• b. Intestinal villi are permanent evaginations that </w:t>
      </w:r>
      <w:r>
        <w:rPr>
          <w:rFonts w:cs="Times New Roman" w:hAnsi="Times New Roman"/>
          <w:b w:val="false"/>
          <w:bCs w:val="false"/>
          <w:color w:val="36363d"/>
          <w:sz w:val="24"/>
          <w:szCs w:val="24"/>
          <w:highlight w:val="none"/>
          <w:u w:val="none"/>
          <w:lang w:val="en-US"/>
        </w:rPr>
        <w:t xml:space="preserve">possess, in their connective tissue </w:t>
      </w:r>
      <w:r>
        <w:rPr>
          <w:rFonts w:cs="Times New Roman" w:hAnsi="Times New Roman"/>
          <w:b w:val="false"/>
          <w:bCs w:val="false"/>
          <w:color w:val="36363d"/>
          <w:sz w:val="24"/>
          <w:szCs w:val="24"/>
          <w:highlight w:val="none"/>
          <w:u w:val="none"/>
          <w:lang w:val="en-US"/>
        </w:rPr>
        <w:t xml:space="preserve">(lamina propria), </w:t>
      </w:r>
      <w:r>
        <w:rPr>
          <w:rFonts w:cs="Times New Roman" w:hAnsi="Times New Roman"/>
          <w:b w:val="false"/>
          <w:bCs w:val="false"/>
          <w:color w:val="36363d"/>
          <w:sz w:val="24"/>
          <w:szCs w:val="24"/>
          <w:highlight w:val="none"/>
          <w:u w:val="none"/>
          <w:lang w:val="en-US"/>
        </w:rPr>
        <w:t>numerous plasma cells and lymphocytes</w:t>
      </w:r>
    </w:p>
    <w:p>
      <w:pPr>
        <w:pStyle w:val="style0"/>
        <w:spacing w:lineRule="auto" w:line="360"/>
        <w:rPr>
          <w:rFonts w:cs="Times New Roman" w:hAnsi="Times New Roman"/>
          <w:b/>
          <w:bCs/>
          <w:color w:val="36363d"/>
          <w:sz w:val="24"/>
          <w:szCs w:val="24"/>
          <w:highlight w:val="none"/>
          <w:u w:val="single"/>
          <w:lang w:val="en-US"/>
        </w:rPr>
      </w:pP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Mucosa of the small intestine</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(A)The epithelium of the mucosa of the small intestine is simple columnar.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It is composed of goblet cells, surface absorptive cells, and some DNES cells </w:t>
      </w:r>
      <w:r>
        <w:rPr>
          <w:rFonts w:cs="Times New Roman" w:hAnsi="Times New Roman"/>
          <w:color w:val="36363d"/>
          <w:sz w:val="24"/>
          <w:szCs w:val="24"/>
          <w:highlight w:val="none"/>
          <w:lang w:val="en-US"/>
        </w:rPr>
        <w:cr/>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(1) Goblet cells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Interspersed between the absorptive cells.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They are less abundant in the duodenum and more numerous in the ileum.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These cells produce glycoprotein mucins that are hydrated and cross-linked to form mucus, whose main function is to protect and lubricate the lining of the intestine.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Have their nucleus and other organelles in the basal region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(2) Surface absorptive cells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Are tall columnar cells with numerous mitochondria, smooth endoplasmic reticulum (SER) and RER, and a Golgicomplex.</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a layer of closely packed microvilli (striated or brush border) on their free apical surface.</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a glycocalyx, which overlies the microvilli and binds various enzymes, including disaccharidases and dipeptidases. Disaccharidases and peptidases secreted by these cells and bound to the microvilli hydrolyze the disaccharides and dipeptides into monosaccharides and amino acids that are easily absorbed through active transport.</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Digestion of fats results from the action of pancreatic lipase and bile.</w:t>
      </w:r>
      <w:r>
        <w:rPr>
          <w:rFonts w:cs="Times New Roman" w:hAnsi="Times New Roman"/>
          <w:color w:val="36363d"/>
          <w:sz w:val="24"/>
          <w:szCs w:val="24"/>
          <w:highlight w:val="none"/>
          <w:lang w:val="en-US"/>
        </w:rPr>
        <w:cr/>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In humans, most of the lipid absorption takes place in the duodenumand upper jejunum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Have well-developed tight junctions and zonula adherens.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(3) DNES cells produce and secrete gastrin, cholecystokinin, gastric inhibitory peptide and several other hormones (diffuse neuroendocrine system)</w:t>
      </w:r>
      <w:r>
        <w:rPr>
          <w:rFonts w:cs="Times New Roman" w:hAnsi="Times New Roman"/>
          <w:color w:val="36363d"/>
          <w:sz w:val="24"/>
          <w:szCs w:val="24"/>
          <w:highlight w:val="none"/>
          <w:lang w:val="en-US"/>
        </w:rPr>
        <w:cr/>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(4) Paneth cells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Are located in the basal portion of the intestinal crypts below the stem cells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They are exocrine cells with large, eosinophilic secretory granules in their apical cytoplasm.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Paneth cell granules undergo exocytosis to release lysozyme, phospholipase A2, and hydrophobic peptides called defensins, all of which bind and breakdown membranes of microorganisms and bacterial walls..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Paneth cells have an important role in innate immunity and in regulating the microenvironment of the intestinal crypt ( regulation of normal bacterial flora of the small intestine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(5) M (microfold) cells are specialized epithelial cells in the ileum overlying the lymphoid follicles of Peyer patches.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These cells are characterized by the presence of basal membrane invaginations or pockets containing many intraepithelial lymphocytes and antigen-presenting cells.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M cells selectively endocytose antigens and transport them to the underlying macrophages and lymphocytes, which then migrate to lymph nodes where immune responses to foreign antigens are initiated.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M cells thus serve as sampling stations where material in the lumen of the gut is transferred to immune cells of the MALT in the lamina propria. </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 xml:space="preserve"> The basement membrane under the M cells is porous, facilitating transit of cells between the lamina propria and the pockets of M cells </w:t>
      </w:r>
    </w:p>
    <w:p>
      <w:pPr>
        <w:pStyle w:val="style0"/>
        <w:spacing w:lineRule="auto" w:line="360"/>
        <w:rPr>
          <w:rFonts w:cs="Times New Roman" w:hAnsi="Times New Roman"/>
          <w:b/>
          <w:bCs/>
          <w:color w:val="36363d"/>
          <w:sz w:val="24"/>
          <w:szCs w:val="24"/>
          <w:highlight w:val="none"/>
          <w:u w:val="single"/>
          <w:lang w:val="en-US"/>
        </w:rPr>
      </w:pPr>
      <w:r>
        <w:rPr>
          <w:rFonts w:cs="Times New Roman" w:hAnsi="Times New Roman"/>
          <w:b/>
          <w:bCs/>
          <w:color w:val="36363d"/>
          <w:sz w:val="24"/>
          <w:szCs w:val="24"/>
          <w:highlight w:val="none"/>
          <w:u w:val="single"/>
          <w:lang w:val="en-US"/>
        </w:rPr>
        <w:t xml:space="preserve"> (B). Lamina propria through Serosa</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(1) occupies the cores of the villi and the interstices between the numerous glands (crypts) of Lieberkühn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(2) consists of loose connective tissue with lymphoid cells, fibroblasts, mast cells, smooth muscle cells, nerve endings, and lymphoid nodules.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(3) Smooth muscle fibers inside the villi are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responsible for their rhythmic movements, which areimportant for efficient absorption.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The muscularis mucosae also produces local movements of the villi and plicae circulares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(4) also contains lacteals (blind-ended lymphatic vessels) and capillary loops.</w:t>
      </w: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cs="Times New Roman" w:hAnsi="Times New Roman"/>
          <w:color w:val="36363d"/>
          <w:sz w:val="24"/>
          <w:szCs w:val="24"/>
          <w:highlight w:val="none"/>
          <w:lang w:val="en-US"/>
        </w:rPr>
      </w:pPr>
      <w:r>
        <w:rPr>
          <w:rFonts w:cs="Times New Roman" w:hAnsi="Times New Roman"/>
          <w:b/>
          <w:bCs/>
          <w:color w:val="36363d"/>
          <w:sz w:val="24"/>
          <w:szCs w:val="24"/>
          <w:highlight w:val="none"/>
          <w:u w:val="single"/>
          <w:lang w:val="en-US"/>
        </w:rPr>
        <w:t xml:space="preserve"> Submucosa of the small intestine</w:t>
      </w:r>
      <w:r>
        <w:rPr>
          <w:rFonts w:cs="Times New Roman" w:hAnsi="Times New Roman"/>
          <w:b/>
          <w:bCs/>
          <w:color w:val="36363d"/>
          <w:sz w:val="24"/>
          <w:szCs w:val="24"/>
          <w:highlight w:val="none"/>
          <w:lang w:val="en-US"/>
        </w:rPr>
        <w:cr/>
      </w:r>
      <w:r>
        <w:rPr>
          <w:rFonts w:cs="Times New Roman" w:hAnsi="Times New Roman"/>
          <w:color w:val="36363d"/>
          <w:sz w:val="24"/>
          <w:szCs w:val="24"/>
          <w:highlight w:val="none"/>
          <w:lang w:val="en-US"/>
        </w:rPr>
        <w:t>(A). consists of fibroelastic connective tissue containing blood and lymphatic vessels, nerve fibers, and Meissner plexus.</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(B). also houses Brunner glands, which are present only in the duodenum.</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These glands produce an alkaline fluid and urogastrone.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The former protects the duodenal epithelium from the acidic chyme; the latter is a polypeptide hormone (human epidermal growth factor) that enhances epithelial cell division and inhibits gastric HCl production.</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 C. Fats are degraded by pancreatic lipase into monoglycerides, free fatty </w:t>
      </w:r>
      <w:r>
        <w:rPr>
          <w:rFonts w:cs="Times New Roman" w:hAnsi="Times New Roman"/>
          <w:color w:val="36363d"/>
          <w:sz w:val="24"/>
          <w:szCs w:val="24"/>
          <w:highlight w:val="none"/>
          <w:lang w:val="en-US"/>
        </w:rPr>
        <w:t xml:space="preserve">acids, and glycerol in the lumen of the small intestine </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1. Absorption of lipid digestion products occurs primarily in the duodenum </w:t>
      </w:r>
      <w:r>
        <w:rPr>
          <w:rFonts w:cs="Times New Roman" w:hAnsi="Times New Roman"/>
          <w:color w:val="36363d"/>
          <w:sz w:val="24"/>
          <w:szCs w:val="24"/>
          <w:highlight w:val="none"/>
          <w:lang w:val="en-US"/>
        </w:rPr>
        <w:t>and upper jejunum.</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(A) </w:t>
      </w:r>
      <w:r>
        <w:rPr>
          <w:rFonts w:cs="Times New Roman" w:hAnsi="Times New Roman"/>
          <w:color w:val="36363d"/>
          <w:sz w:val="24"/>
          <w:szCs w:val="24"/>
          <w:highlight w:val="none"/>
          <w:lang w:val="en-US"/>
        </w:rPr>
        <w:t xml:space="preserve"> salts act on the free fatty acids and monoglycerides, forming watersoluble micelles.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(B)</w:t>
      </w:r>
      <w:r>
        <w:rPr>
          <w:rFonts w:cs="Times New Roman" w:hAnsi="Times New Roman"/>
          <w:color w:val="36363d"/>
          <w:sz w:val="24"/>
          <w:szCs w:val="24"/>
          <w:highlight w:val="none"/>
          <w:lang w:val="en-US"/>
        </w:rPr>
        <w:t xml:space="preserve"> and glycerol then enter the surface absorptive cells.</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2. Formation of chyle</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w:t>
      </w:r>
      <w:r>
        <w:rPr>
          <w:rFonts w:cs="Times New Roman" w:hAnsi="Times New Roman"/>
          <w:color w:val="36363d"/>
          <w:sz w:val="24"/>
          <w:szCs w:val="24"/>
          <w:highlight w:val="none"/>
          <w:lang w:val="en-US"/>
        </w:rPr>
        <w:t>A)Triglycerides</w:t>
      </w:r>
      <w:r>
        <w:rPr>
          <w:rFonts w:cs="Times New Roman" w:hAnsi="Times New Roman"/>
          <w:color w:val="36363d"/>
          <w:sz w:val="24"/>
          <w:szCs w:val="24"/>
          <w:highlight w:val="none"/>
          <w:lang w:val="en-US"/>
        </w:rPr>
        <w:t xml:space="preserve"> are resynthesized from monoglycerides and free fatty acids </w:t>
      </w:r>
      <w:r>
        <w:rPr>
          <w:rFonts w:cs="Times New Roman" w:hAnsi="Times New Roman"/>
          <w:color w:val="36363d"/>
          <w:sz w:val="24"/>
          <w:szCs w:val="24"/>
          <w:highlight w:val="none"/>
          <w:lang w:val="en-US"/>
        </w:rPr>
        <w:t>within the SER.</w:t>
      </w:r>
      <w:r>
        <w:rPr>
          <w:rFonts w:cs="Times New Roman" w:hAnsi="Times New Roman"/>
          <w:color w:val="36363d"/>
          <w:sz w:val="24"/>
          <w:szCs w:val="24"/>
          <w:highlight w:val="none"/>
          <w:lang w:val="en-US"/>
        </w:rPr>
        <w:cr/>
      </w:r>
      <w:r>
        <w:rPr>
          <w:rFonts w:cs="Times New Roman" w:hAnsi="Times New Roman"/>
          <w:color w:val="36363d"/>
          <w:sz w:val="24"/>
          <w:szCs w:val="24"/>
          <w:highlight w:val="none"/>
          <w:lang w:val="en-US"/>
        </w:rPr>
        <w:t>(B)</w:t>
      </w:r>
      <w:r>
        <w:rPr>
          <w:rFonts w:cs="Times New Roman" w:hAnsi="Times New Roman"/>
          <w:color w:val="36363d"/>
          <w:sz w:val="24"/>
          <w:szCs w:val="24"/>
          <w:highlight w:val="none"/>
          <w:lang w:val="en-US"/>
        </w:rPr>
        <w:t xml:space="preserve"> Chylomicrons are formed in the Golgi complex by the complexing of </w:t>
      </w:r>
      <w:r>
        <w:rPr>
          <w:rFonts w:cs="Times New Roman" w:hAnsi="Times New Roman"/>
          <w:color w:val="36363d"/>
          <w:sz w:val="24"/>
          <w:szCs w:val="24"/>
          <w:highlight w:val="none"/>
          <w:lang w:val="en-US"/>
        </w:rPr>
        <w:t xml:space="preserve">the resynthesized triglycerides with proteins. Chylomicrons are </w:t>
      </w:r>
      <w:r>
        <w:rPr>
          <w:rFonts w:cs="Times New Roman" w:hAnsi="Times New Roman"/>
          <w:color w:val="36363d"/>
          <w:sz w:val="24"/>
          <w:szCs w:val="24"/>
          <w:highlight w:val="none"/>
          <w:lang w:val="en-US"/>
        </w:rPr>
        <w:t xml:space="preserve">transported to the lateral cell membrane and released by exocytosis; </w:t>
      </w:r>
      <w:r>
        <w:rPr>
          <w:rFonts w:cs="Times New Roman" w:hAnsi="Times New Roman"/>
          <w:color w:val="36363d"/>
          <w:sz w:val="24"/>
          <w:szCs w:val="24"/>
          <w:highlight w:val="none"/>
          <w:lang w:val="en-US"/>
        </w:rPr>
        <w:t xml:space="preserve">after crossing the basal lamina, they enter lacteals in the lamina propria to </w:t>
      </w:r>
      <w:r>
        <w:rPr>
          <w:rFonts w:cs="Times New Roman" w:hAnsi="Times New Roman"/>
          <w:color w:val="36363d"/>
          <w:sz w:val="24"/>
          <w:szCs w:val="24"/>
          <w:highlight w:val="none"/>
          <w:lang w:val="en-US"/>
        </w:rPr>
        <w:t>contribute to the formation of chyle</w:t>
      </w:r>
    </w:p>
    <w:p>
      <w:pPr>
        <w:pStyle w:val="style0"/>
        <w:spacing w:lineRule="auto" w:line="360"/>
        <w:rPr>
          <w:rFonts w:cs="Times New Roman" w:hAnsi="Times New Roman"/>
          <w:color w:val="36363d"/>
          <w:sz w:val="24"/>
          <w:szCs w:val="24"/>
          <w:highlight w:val="none"/>
          <w:lang w:val="en-US"/>
        </w:rPr>
      </w:pPr>
      <w:r>
        <w:rPr>
          <w:rFonts w:cs="Times New Roman" w:hAnsi="Times New Roman"/>
          <w:color w:val="36363d"/>
          <w:sz w:val="24"/>
          <w:szCs w:val="24"/>
          <w:highlight w:val="none"/>
          <w:lang w:val="en-US"/>
        </w:rPr>
        <w:t xml:space="preserve">Chyle enters the submucosal lymphatic plexus by contraction of </w:t>
      </w:r>
      <w:r>
        <w:rPr>
          <w:rFonts w:cs="Times New Roman" w:hAnsi="Times New Roman"/>
          <w:color w:val="36363d"/>
          <w:sz w:val="24"/>
          <w:szCs w:val="24"/>
          <w:highlight w:val="none"/>
          <w:lang w:val="en-US"/>
        </w:rPr>
        <w:t>smooth muscle cells in the intestinal villi.</w:t>
      </w:r>
    </w:p>
    <w:p>
      <w:pPr>
        <w:pStyle w:val="style0"/>
        <w:spacing w:lineRule="auto" w:line="360"/>
        <w:rPr>
          <w:rFonts w:cs="Times New Roman" w:hAnsi="Times New Roman"/>
          <w:color w:val="36363d"/>
          <w:sz w:val="24"/>
          <w:szCs w:val="24"/>
          <w:highlight w:val="none"/>
          <w:lang w:val="en-US"/>
        </w:rPr>
      </w:pPr>
    </w:p>
    <w:p>
      <w:pPr>
        <w:pStyle w:val="style0"/>
        <w:spacing w:lineRule="auto" w:line="360"/>
        <w:rPr>
          <w:rFonts w:ascii="Times New Roman" w:cs="Times New Roman" w:hAnsi="Times New Roman"/>
          <w:color w:val="36363d"/>
          <w:sz w:val="24"/>
          <w:szCs w:val="24"/>
          <w:highlight w:val="none"/>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fb8c200f-f2a9-41a0-9fea-04824ead984c"/>
    <w:basedOn w:val="style65"/>
    <w:next w:val="style4097"/>
    <w:link w:val="style2"/>
    <w:uiPriority w:val="9"/>
    <w:rPr>
      <w:rFonts w:ascii="Calibri Light" w:cs="宋体" w:eastAsia="宋体" w:hAnsi="Calibri Light"/>
      <w:color w:val="2f5496"/>
      <w:sz w:val="26"/>
      <w:szCs w:val="2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098">
    <w:name w:val="Heading 3 Char_c0bd1907-8c33-475e-a8b2-a04a70f50cf8"/>
    <w:basedOn w:val="style65"/>
    <w:next w:val="style4098"/>
    <w:link w:val="style3"/>
    <w:uiPriority w:val="9"/>
    <w:rPr>
      <w:rFonts w:ascii="Calibri Light" w:cs="宋体" w:eastAsia="宋体" w:hAnsi="Calibri Light"/>
      <w:color w:val="1f3763"/>
      <w:sz w:val="24"/>
      <w:szCs w:val="24"/>
    </w:rPr>
  </w:style>
  <w:style w:type="character" w:styleId="style88">
    <w:name w:val="Emphasis"/>
    <w:basedOn w:val="style65"/>
    <w:next w:val="style88"/>
    <w:qFormat/>
    <w:uiPriority w:val="20"/>
    <w:rPr>
      <w:i/>
      <w:iCs/>
    </w:rPr>
  </w:style>
  <w:style w:type="character" w:customStyle="1" w:styleId="style4099">
    <w:name w:val="Heading 1 Char_843fd21a-aa7a-4427-b292-539590335233"/>
    <w:basedOn w:val="style65"/>
    <w:next w:val="style4099"/>
    <w:link w:val="style1"/>
    <w:uiPriority w:val="9"/>
    <w:rPr>
      <w:rFonts w:ascii="Calibri Light" w:cs="宋体" w:eastAsia="宋体" w:hAnsi="Calibri Light"/>
      <w:color w:val="2f5496"/>
      <w:sz w:val="32"/>
      <w:szCs w:val="32"/>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1697</Words>
  <Pages>1</Pages>
  <Characters>9493</Characters>
  <Application>WPS Office</Application>
  <DocSecurity>0</DocSecurity>
  <Paragraphs>131</Paragraphs>
  <ScaleCrop>false</ScaleCrop>
  <LinksUpToDate>false</LinksUpToDate>
  <CharactersWithSpaces>11150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2020-04-28T15:11:17Z</dcterms:created>
  <dc:creator>Guest User</dc:creator>
  <lastModifiedBy>Infinix X5516B</lastModifiedBy>
  <dcterms:modified xsi:type="dcterms:W3CDTF">2020-04-28T15:11:18Z</dcterms:modified>
  <revision>37</revision>
</coreProperties>
</file>

<file path=docProps/custom.xml><?xml version="1.0" encoding="utf-8"?>
<Properties xmlns="http://schemas.openxmlformats.org/officeDocument/2006/custom-properties" xmlns:vt="http://schemas.openxmlformats.org/officeDocument/2006/docPropsVTypes"/>
</file>