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napToGrid w:val="0"/>
        <w:spacing w:line="240" w:lineRule="auto"/>
        <w:rPr>
          <w:rFonts w:hint="default" w:ascii="Times New Roman" w:hAnsi="Times New Roman" w:eastAsia="Times New Roman" w:cs="Times New Roman"/>
          <w:color w:val="000000" w:themeColor="text1"/>
          <w:lang w:val="en-US"/>
          <w14:textFill>
            <w14:solidFill>
              <w14:schemeClr w14:val="tx1"/>
            </w14:solidFill>
          </w14:textFill>
        </w:rPr>
      </w:pPr>
      <w:r>
        <w:rPr>
          <w:rFonts w:hint="default" w:ascii="Times New Roman" w:hAnsi="Times New Roman" w:eastAsia="Times New Roman" w:cs="Times New Roman"/>
          <w:color w:val="000000" w:themeColor="text1"/>
          <w:lang w:val="en-US"/>
          <w14:textFill>
            <w14:solidFill>
              <w14:schemeClr w14:val="tx1"/>
            </w14:solidFill>
          </w14:textFill>
        </w:rPr>
        <w:t xml:space="preserve">Oghene-Karo Ifoto </w:t>
      </w:r>
    </w:p>
    <w:p>
      <w:pPr>
        <w:snapToGrid w:val="0"/>
        <w:spacing w:line="240" w:lineRule="auto"/>
        <w:rPr>
          <w:rFonts w:hint="default" w:ascii="Times New Roman" w:hAnsi="Times New Roman" w:eastAsia="Times New Roman" w:cs="Times New Roman"/>
          <w:color w:val="000000" w:themeColor="text1"/>
          <w:lang w:val="en-US"/>
          <w14:textFill>
            <w14:solidFill>
              <w14:schemeClr w14:val="tx1"/>
            </w14:solidFill>
          </w14:textFill>
        </w:rPr>
      </w:pPr>
      <w:r>
        <w:rPr>
          <w:rFonts w:hint="default" w:ascii="Times New Roman" w:hAnsi="Times New Roman" w:eastAsia="Times New Roman" w:cs="Times New Roman"/>
          <w:color w:val="000000" w:themeColor="text1"/>
          <w:lang w:val="en-US"/>
          <w14:textFill>
            <w14:solidFill>
              <w14:schemeClr w14:val="tx1"/>
            </w14:solidFill>
          </w14:textFill>
        </w:rPr>
        <w:t>17/mhs01/149</w:t>
      </w:r>
    </w:p>
    <w:p>
      <w:pPr>
        <w:snapToGrid w:val="0"/>
        <w:spacing w:line="240" w:lineRule="auto"/>
        <w:rPr>
          <w:rFonts w:hint="default" w:ascii="Times New Roman" w:hAnsi="Times New Roman" w:eastAsia="Times New Roman" w:cs="Times New Roman"/>
          <w:color w:val="000000" w:themeColor="text1"/>
          <w:lang w:val="en-US"/>
          <w14:textFill>
            <w14:solidFill>
              <w14:schemeClr w14:val="tx1"/>
            </w14:solidFill>
          </w14:textFill>
        </w:rPr>
      </w:pPr>
      <w:r>
        <w:rPr>
          <w:rFonts w:hint="default" w:ascii="Times New Roman" w:hAnsi="Times New Roman" w:eastAsia="Times New Roman" w:cs="Times New Roman"/>
          <w:color w:val="000000" w:themeColor="text1"/>
          <w:lang w:val="en-US"/>
          <w14:textFill>
            <w14:solidFill>
              <w14:schemeClr w14:val="tx1"/>
            </w14:solidFill>
          </w14:textFill>
        </w:rPr>
        <w:t>Medicine and surgery</w:t>
      </w:r>
    </w:p>
    <w:p>
      <w:pPr>
        <w:snapToGrid w:val="0"/>
        <w:spacing w:line="240" w:lineRule="auto"/>
        <w:rPr>
          <w:rFonts w:hint="default" w:ascii="Times New Roman" w:hAnsi="Times New Roman" w:eastAsia="Times New Roman" w:cs="Times New Roman"/>
          <w:color w:val="000000" w:themeColor="text1"/>
          <w:lang w:val="en-US"/>
          <w14:textFill>
            <w14:solidFill>
              <w14:schemeClr w14:val="tx1"/>
            </w14:solidFill>
          </w14:textFill>
        </w:rPr>
      </w:pPr>
    </w:p>
    <w:p>
      <w:pPr>
        <w:snapToGrid w:val="0"/>
        <w:spacing w:line="240" w:lineRule="auto"/>
        <w:rPr>
          <w:rFonts w:hint="default" w:ascii="Times New Roman" w:hAnsi="Times New Roman" w:eastAsia="Times New Roman" w:cs="Times New Roman"/>
          <w:color w:val="000000" w:themeColor="text1"/>
          <w:lang w:val="en-US"/>
          <w14:textFill>
            <w14:solidFill>
              <w14:schemeClr w14:val="tx1"/>
            </w14:solidFill>
          </w14:textFill>
        </w:rPr>
      </w:pPr>
      <w:r>
        <w:rPr>
          <w:rFonts w:hint="default" w:ascii="Times New Roman" w:hAnsi="Times New Roman" w:eastAsia="Times New Roman" w:cs="Times New Roman"/>
          <w:color w:val="000000" w:themeColor="text1"/>
          <w:lang w:val="en-US"/>
          <w14:textFill>
            <w14:solidFill>
              <w14:schemeClr w14:val="tx1"/>
            </w14:solidFill>
          </w14:textFill>
        </w:rPr>
        <w:t>Gross anatomy of the head and neck</w:t>
      </w:r>
    </w:p>
    <w:p>
      <w:pPr>
        <w:snapToGrid w:val="0"/>
        <w:spacing w:line="240" w:lineRule="auto"/>
        <w:rPr>
          <w:rFonts w:hint="default" w:ascii="Times New Roman" w:hAnsi="Times New Roman" w:eastAsia="Times New Roman" w:cs="Times New Roman"/>
          <w:color w:val="000000" w:themeColor="text1"/>
          <w:lang w:val="en-US"/>
          <w14:textFill>
            <w14:solidFill>
              <w14:schemeClr w14:val="tx1"/>
            </w14:solidFill>
          </w14:textFill>
        </w:rPr>
      </w:pPr>
    </w:p>
    <w:p>
      <w:pPr>
        <w:snapToGrid w:val="0"/>
        <w:spacing w:line="240" w:lineRule="auto"/>
        <w:rPr>
          <w:rFonts w:hint="default" w:ascii="Times New Roman" w:hAnsi="Times New Roman" w:eastAsia="Times New Roman" w:cs="Times New Roman"/>
          <w:b/>
          <w:bCs/>
          <w:color w:val="000000" w:themeColor="text1"/>
          <w:lang w:val="en-US"/>
          <w14:textFill>
            <w14:solidFill>
              <w14:schemeClr w14:val="tx1"/>
            </w14:solidFill>
          </w14:textFill>
        </w:rPr>
      </w:pPr>
      <w:r>
        <w:rPr>
          <w:rFonts w:hint="default" w:ascii="Times New Roman" w:hAnsi="Times New Roman" w:eastAsia="Times New Roman" w:cs="Times New Roman"/>
          <w:b/>
          <w:bCs/>
          <w:color w:val="000000" w:themeColor="text1"/>
          <w:lang w:val="en-US"/>
          <w14:textFill>
            <w14:solidFill>
              <w14:schemeClr w14:val="tx1"/>
            </w14:solidFill>
          </w14:textFill>
        </w:rPr>
        <w:t>QUESTION 1 - form an essay on the cavernous sinus</w:t>
      </w:r>
    </w:p>
    <w:p>
      <w:pPr>
        <w:snapToGrid w:val="0"/>
        <w:spacing w:line="240" w:lineRule="auto"/>
        <w:rPr>
          <w:rFonts w:hint="default" w:ascii="Times New Roman" w:hAnsi="Times New Roman" w:eastAsia="Times New Roman" w:cs="Times New Roman"/>
          <w:color w:val="000000" w:themeColor="text1"/>
          <w14:textFill>
            <w14:solidFill>
              <w14:schemeClr w14:val="tx1"/>
            </w14:solidFill>
          </w14:textFill>
        </w:rPr>
      </w:pPr>
      <w:r>
        <w:rPr>
          <w:rFonts w:hint="default" w:ascii="Times New Roman" w:hAnsi="Times New Roman" w:eastAsia="Times New Roman" w:cs="Times New Roman"/>
          <w:color w:val="000000" w:themeColor="text1"/>
          <w14:textFill>
            <w14:solidFill>
              <w14:schemeClr w14:val="tx1"/>
            </w14:solidFill>
          </w14:textFill>
        </w:rPr>
        <w:drawing>
          <wp:inline distT="0" distB="0" distL="114300" distR="114300">
            <wp:extent cx="3550285" cy="2113280"/>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a:off x="0" y="0"/>
                      <a:ext cx="3550285" cy="2113280"/>
                    </a:xfrm>
                    <a:prstGeom prst="rect">
                      <a:avLst/>
                    </a:prstGeom>
                    <a:noFill/>
                    <a:ln w="9525">
                      <a:noFill/>
                    </a:ln>
                  </pic:spPr>
                </pic:pic>
              </a:graphicData>
            </a:graphic>
          </wp:inline>
        </w:drawing>
      </w:r>
    </w:p>
    <w:p>
      <w:pPr>
        <w:snapToGrid w:val="0"/>
        <w:spacing w:line="240" w:lineRule="auto"/>
        <w:rPr>
          <w:rFonts w:hint="default" w:ascii="Times New Roman" w:hAnsi="Times New Roman" w:eastAsia="Times New Roman" w:cs="Times New Roman"/>
          <w:color w:val="000000" w:themeColor="text1"/>
          <w:lang w:val="en-US"/>
          <w14:textFill>
            <w14:solidFill>
              <w14:schemeClr w14:val="tx1"/>
            </w14:solidFill>
          </w14:textFill>
        </w:rPr>
      </w:pPr>
      <w:r>
        <w:rPr>
          <w:rFonts w:hint="default" w:ascii="Times New Roman" w:hAnsi="Times New Roman" w:eastAsia="Times New Roman" w:cs="Times New Roman"/>
          <w:color w:val="000000" w:themeColor="text1"/>
          <w:u w:val="single"/>
          <w:lang w:val="en-US"/>
          <w14:textFill>
            <w14:solidFill>
              <w14:schemeClr w14:val="tx1"/>
            </w14:solidFill>
          </w14:textFill>
        </w:rPr>
        <w:t>Introduction and location</w:t>
      </w:r>
    </w:p>
    <w:p>
      <w:pPr>
        <w:pStyle w:val="2"/>
        <w:widowControl/>
        <w:snapToGrid w:val="0"/>
        <w:spacing w:beforeAutospacing="0" w:after="300" w:afterAutospacing="0" w:line="216" w:lineRule="auto"/>
        <w:ind w:left="0" w:firstLine="0"/>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sz w:val="24"/>
          <w:szCs w:val="24"/>
          <w:u w:val="none"/>
          <w14:textFill>
            <w14:solidFill>
              <w14:schemeClr w14:val="tx1"/>
            </w14:solidFill>
          </w14:textFill>
        </w:rPr>
        <w:t>The</w:t>
      </w:r>
      <w:r>
        <w:rPr>
          <w:rFonts w:hint="default" w:ascii="Times New Roman" w:hAnsi="Times New Roman" w:eastAsia="Times New Roman" w:cs="Times New Roman"/>
          <w:b w:val="0"/>
          <w:i w:val="0"/>
          <w:caps w:val="0"/>
          <w:color w:val="000000" w:themeColor="text1"/>
          <w:spacing w:val="0"/>
          <w:sz w:val="24"/>
          <w:szCs w:val="24"/>
          <w:u w:val="none"/>
          <w14:textFill>
            <w14:solidFill>
              <w14:schemeClr w14:val="tx1"/>
            </w14:solidFill>
          </w14:textFill>
        </w:rPr>
        <w:t> </w:t>
      </w:r>
      <w:r>
        <w:rPr>
          <w:rStyle w:val="5"/>
          <w:rFonts w:hint="default" w:ascii="Times New Roman" w:hAnsi="Times New Roman" w:eastAsia="Times New Roman" w:cs="Times New Roman"/>
          <w:i w:val="0"/>
          <w:caps w:val="0"/>
          <w:color w:val="000000" w:themeColor="text1"/>
          <w:spacing w:val="0"/>
          <w:sz w:val="24"/>
          <w:szCs w:val="24"/>
          <w:u w:val="none"/>
          <w14:textFill>
            <w14:solidFill>
              <w14:schemeClr w14:val="tx1"/>
            </w14:solidFill>
          </w14:textFill>
        </w:rPr>
        <w:t>cavernous sinuses</w:t>
      </w:r>
      <w:r>
        <w:rPr>
          <w:rFonts w:hint="default" w:ascii="Times New Roman" w:hAnsi="Times New Roman" w:eastAsia="Times New Roman" w:cs="Times New Roman"/>
          <w:b w:val="0"/>
          <w:i w:val="0"/>
          <w:caps w:val="0"/>
          <w:color w:val="000000" w:themeColor="text1"/>
          <w:spacing w:val="0"/>
          <w:sz w:val="24"/>
          <w:szCs w:val="24"/>
          <w:u w:val="none"/>
          <w14:textFill>
            <w14:solidFill>
              <w14:schemeClr w14:val="tx1"/>
            </w14:solidFill>
          </w14:textFill>
        </w:rPr>
        <w:t> </w:t>
      </w:r>
      <w:r>
        <w:rPr>
          <w:rFonts w:hint="default" w:ascii="Times New Roman" w:hAnsi="Times New Roman" w:eastAsia="Times New Roman" w:cs="Times New Roman"/>
          <w:b w:val="0"/>
          <w:i w:val="0"/>
          <w:caps w:val="0"/>
          <w:color w:val="000000" w:themeColor="text1"/>
          <w:spacing w:val="0"/>
          <w:sz w:val="24"/>
          <w:szCs w:val="24"/>
          <w:u w:val="none"/>
          <w14:textFill>
            <w14:solidFill>
              <w14:schemeClr w14:val="tx1"/>
            </w14:solidFill>
          </w14:textFill>
        </w:rPr>
        <w:t xml:space="preserve">are one of several drainage pathways for the brain that sits in </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the middle</w:t>
      </w:r>
      <w:r>
        <w:rPr>
          <w:rFonts w:hint="default" w:ascii="Times New Roman" w:hAnsi="Times New Roman" w:eastAsia="Times New Roman" w:cs="Times New Roman"/>
          <w:b w:val="0"/>
          <w:i w:val="0"/>
          <w:caps w:val="0"/>
          <w:color w:val="000000" w:themeColor="text1"/>
          <w:spacing w:val="0"/>
          <w:sz w:val="20"/>
          <w:szCs w:val="20"/>
          <w:u w:val="none"/>
          <w:lang w:val="en-US"/>
          <w14:textFill>
            <w14:solidFill>
              <w14:schemeClr w14:val="tx1"/>
            </w14:solidFill>
          </w14:textFill>
        </w:rPr>
        <w:t xml:space="preserve"> cranial fossa on each side of the sella turcica</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w:t>
      </w:r>
    </w:p>
    <w:p>
      <w:pPr>
        <w:pStyle w:val="2"/>
        <w:widowControl/>
        <w:snapToGrid w:val="0"/>
        <w:spacing w:beforeAutospacing="0" w:after="300" w:afterAutospacing="0" w:line="216" w:lineRule="auto"/>
        <w:ind w:left="0" w:firstLine="0"/>
        <w:rPr>
          <w:rFonts w:hint="default" w:ascii="Times New Roman" w:hAnsi="Times New Roman" w:eastAsia="Times New Roman" w:cs="Times New Roman"/>
          <w:b w:val="0"/>
          <w:i w:val="0"/>
          <w:caps w:val="0"/>
          <w:color w:val="000000" w:themeColor="text1"/>
          <w:spacing w:val="0"/>
          <w:sz w:val="20"/>
          <w:szCs w:val="20"/>
          <w:u w:val="none"/>
          <w:lang w:val="en-US"/>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sz w:val="20"/>
          <w:szCs w:val="20"/>
          <w:u w:val="none"/>
          <w:lang w:val="en-US"/>
          <w14:textFill>
            <w14:solidFill>
              <w14:schemeClr w14:val="tx1"/>
            </w14:solidFill>
          </w14:textFill>
        </w:rPr>
        <w:t>It extends from the superior orbital fissure anteriorly to the apex of the temporal bone posteriorly.</w:t>
      </w:r>
    </w:p>
    <w:p>
      <w:pPr>
        <w:pStyle w:val="2"/>
        <w:widowControl/>
        <w:snapToGrid w:val="0"/>
        <w:spacing w:beforeAutospacing="0" w:after="300" w:afterAutospacing="0" w:line="216" w:lineRule="auto"/>
        <w:ind w:left="0" w:firstLine="0"/>
        <w:rPr>
          <w:rFonts w:hint="default" w:ascii="Times New Roman" w:hAnsi="Times New Roman" w:eastAsia="Times New Roman" w:cs="Times New Roman"/>
          <w:b w:val="0"/>
          <w:i w:val="0"/>
          <w:caps w:val="0"/>
          <w:color w:val="000000" w:themeColor="text1"/>
          <w:spacing w:val="0"/>
          <w:sz w:val="20"/>
          <w:szCs w:val="20"/>
          <w:u w:val="none"/>
          <w:lang w:val="en-US"/>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sz w:val="20"/>
          <w:szCs w:val="20"/>
          <w:u w:val="single"/>
          <w:lang w:val="en-US"/>
          <w14:textFill>
            <w14:solidFill>
              <w14:schemeClr w14:val="tx1"/>
            </w14:solidFill>
          </w14:textFill>
        </w:rPr>
        <w:t>Communications of the cavernous sinus</w:t>
      </w:r>
    </w:p>
    <w:p>
      <w:pPr>
        <w:pStyle w:val="2"/>
        <w:widowControl/>
        <w:snapToGrid w:val="0"/>
        <w:spacing w:beforeAutospacing="0" w:after="300" w:afterAutospacing="0" w:line="216" w:lineRule="auto"/>
        <w:ind w:left="0" w:firstLine="0"/>
        <w:rPr>
          <w:rFonts w:hint="default" w:ascii="Times New Roman" w:hAnsi="Times New Roman" w:eastAsia="Times New Roman" w:cs="Times New Roman"/>
          <w:b w:val="0"/>
          <w:i w:val="0"/>
          <w:caps w:val="0"/>
          <w:color w:val="000000" w:themeColor="text1"/>
          <w:spacing w:val="0"/>
          <w:sz w:val="20"/>
          <w:szCs w:val="20"/>
          <w:u w:val="none"/>
          <w:lang w:val="en-US"/>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sz w:val="20"/>
          <w:szCs w:val="20"/>
          <w:u w:val="none"/>
          <w:lang w:val="en-US"/>
          <w14:textFill>
            <w14:solidFill>
              <w14:schemeClr w14:val="tx1"/>
            </w14:solidFill>
          </w14:textFill>
        </w:rPr>
        <w:t>The cavernous sinus receives drainage from the ;</w:t>
      </w:r>
    </w:p>
    <w:p>
      <w:pPr>
        <w:pStyle w:val="2"/>
        <w:widowControl/>
        <w:snapToGrid w:val="0"/>
        <w:spacing w:beforeAutospacing="0" w:after="300" w:afterAutospacing="0" w:line="216" w:lineRule="auto"/>
        <w:ind w:left="0" w:firstLine="0"/>
        <w:rPr>
          <w:rFonts w:hint="default" w:ascii="Times New Roman" w:hAnsi="Times New Roman" w:eastAsia="Times New Roman" w:cs="Times New Roman"/>
          <w:b w:val="0"/>
          <w:i w:val="0"/>
          <w:caps w:val="0"/>
          <w:color w:val="000000" w:themeColor="text1"/>
          <w:spacing w:val="0"/>
          <w:sz w:val="20"/>
          <w:szCs w:val="20"/>
          <w:u w:val="none"/>
          <w:lang w:val="en-US"/>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sz w:val="20"/>
          <w:szCs w:val="20"/>
          <w:u w:val="none"/>
          <w:lang w:val="en-US"/>
          <w14:textFill>
            <w14:solidFill>
              <w14:schemeClr w14:val="tx1"/>
            </w14:solidFill>
          </w14:textFill>
        </w:rPr>
        <w:t>1. Cerebral veins</w:t>
      </w:r>
    </w:p>
    <w:p>
      <w:pPr>
        <w:pStyle w:val="2"/>
        <w:widowControl/>
        <w:snapToGrid w:val="0"/>
        <w:spacing w:beforeAutospacing="0" w:after="300" w:afterAutospacing="0" w:line="216" w:lineRule="auto"/>
        <w:ind w:left="0" w:firstLine="0"/>
        <w:rPr>
          <w:rFonts w:hint="default" w:ascii="Times New Roman" w:hAnsi="Times New Roman" w:eastAsia="Times New Roman" w:cs="Times New Roman"/>
          <w:b w:val="0"/>
          <w:i w:val="0"/>
          <w:caps w:val="0"/>
          <w:color w:val="000000" w:themeColor="text1"/>
          <w:spacing w:val="0"/>
          <w:sz w:val="20"/>
          <w:szCs w:val="20"/>
          <w:u w:val="none"/>
          <w:lang w:val="en-US"/>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sz w:val="20"/>
          <w:szCs w:val="20"/>
          <w:u w:val="none"/>
          <w:lang w:val="en-US"/>
          <w14:textFill>
            <w14:solidFill>
              <w14:schemeClr w14:val="tx1"/>
            </w14:solidFill>
          </w14:textFill>
        </w:rPr>
        <w:t>2. Superior and inferior ophthalmic veins from the orbit</w:t>
      </w:r>
    </w:p>
    <w:p>
      <w:pPr>
        <w:pStyle w:val="2"/>
        <w:widowControl/>
        <w:snapToGrid w:val="0"/>
        <w:spacing w:beforeAutospacing="0" w:after="300" w:afterAutospacing="0" w:line="216" w:lineRule="auto"/>
        <w:ind w:left="0" w:firstLine="0"/>
        <w:rPr>
          <w:rFonts w:hint="default" w:ascii="Times New Roman" w:hAnsi="Times New Roman" w:eastAsia="Times New Roman" w:cs="Times New Roman"/>
          <w:b w:val="0"/>
          <w:i w:val="0"/>
          <w:caps w:val="0"/>
          <w:color w:val="000000" w:themeColor="text1"/>
          <w:spacing w:val="0"/>
          <w:sz w:val="20"/>
          <w:szCs w:val="20"/>
          <w:u w:val="none"/>
          <w:lang w:val="en-US"/>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sz w:val="20"/>
          <w:szCs w:val="20"/>
          <w:u w:val="none"/>
          <w:lang w:val="en-US"/>
          <w14:textFill>
            <w14:solidFill>
              <w14:schemeClr w14:val="tx1"/>
            </w14:solidFill>
          </w14:textFill>
        </w:rPr>
        <w:t>3. Emissary veins (from the pterygoid venous plexus in the infratemporal fossa)</w:t>
      </w:r>
    </w:p>
    <w:p>
      <w:pPr>
        <w:pStyle w:val="2"/>
        <w:widowControl/>
        <w:snapToGrid w:val="0"/>
        <w:spacing w:beforeAutospacing="0" w:after="300" w:afterAutospacing="0" w:line="216" w:lineRule="auto"/>
        <w:ind w:left="0" w:firstLine="0"/>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sz w:val="20"/>
          <w:szCs w:val="20"/>
          <w:u w:val="none"/>
          <w:lang w:val="en-US"/>
          <w14:textFill>
            <w14:solidFill>
              <w14:schemeClr w14:val="tx1"/>
            </w14:solidFill>
          </w14:textFill>
        </w:rPr>
        <w:t>I</w:t>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n addition to receiving venous drainage from the brain, it also receives tributaries from parts of the </w:t>
      </w:r>
      <w:r>
        <w:rPr>
          <w:rFonts w:hint="default" w:ascii="Times New Roman" w:hAnsi="Times New Roman" w:eastAsia="Times New Roman" w:cs="Times New Roman"/>
          <w:b w:val="0"/>
          <w:i w:val="0"/>
          <w:caps w:val="0"/>
          <w:color w:val="000000" w:themeColor="text1"/>
          <w:spacing w:val="0"/>
          <w:sz w:val="20"/>
          <w:szCs w:val="20"/>
          <w:u w:val="single"/>
          <w14:textFill>
            <w14:solidFill>
              <w14:schemeClr w14:val="tx1"/>
            </w14:solidFill>
          </w14:textFill>
        </w:rPr>
        <w:fldChar w:fldCharType="begin"/>
      </w:r>
      <w:r>
        <w:rPr>
          <w:rFonts w:hint="default" w:ascii="Times New Roman" w:hAnsi="Times New Roman" w:eastAsia="Times New Roman" w:cs="Times New Roman"/>
          <w:b w:val="0"/>
          <w:i w:val="0"/>
          <w:caps w:val="0"/>
          <w:color w:val="000000" w:themeColor="text1"/>
          <w:spacing w:val="0"/>
          <w:sz w:val="20"/>
          <w:szCs w:val="20"/>
          <w:u w:val="single"/>
          <w14:textFill>
            <w14:solidFill>
              <w14:schemeClr w14:val="tx1"/>
            </w14:solidFill>
          </w14:textFill>
        </w:rPr>
        <w:instrText xml:space="preserve"> HYPERLINK "/en/library/anatomy/the-human-face" </w:instrText>
      </w:r>
      <w:r>
        <w:rPr>
          <w:rFonts w:hint="default" w:ascii="Times New Roman" w:hAnsi="Times New Roman" w:eastAsia="Times New Roman" w:cs="Times New Roman"/>
          <w:b w:val="0"/>
          <w:i w:val="0"/>
          <w:caps w:val="0"/>
          <w:color w:val="000000" w:themeColor="text1"/>
          <w:spacing w:val="0"/>
          <w:sz w:val="20"/>
          <w:szCs w:val="20"/>
          <w:u w:val="single"/>
          <w14:textFill>
            <w14:solidFill>
              <w14:schemeClr w14:val="tx1"/>
            </w14:solidFill>
          </w14:textFill>
        </w:rPr>
        <w:fldChar w:fldCharType="separate"/>
      </w:r>
      <w:r>
        <w:rPr>
          <w:rStyle w:val="4"/>
          <w:rFonts w:hint="default" w:ascii="Times New Roman" w:hAnsi="Times New Roman" w:eastAsia="Times New Roman" w:cs="Times New Roman"/>
          <w:b w:val="0"/>
          <w:i w:val="0"/>
          <w:caps w:val="0"/>
          <w:color w:val="000000" w:themeColor="text1"/>
          <w:spacing w:val="0"/>
          <w:sz w:val="20"/>
          <w:szCs w:val="20"/>
          <w:u w:val="single"/>
          <w14:textFill>
            <w14:solidFill>
              <w14:schemeClr w14:val="tx1"/>
            </w14:solidFill>
          </w14:textFill>
        </w:rPr>
        <w:t>face</w:t>
      </w:r>
      <w:r>
        <w:rPr>
          <w:rFonts w:hint="default" w:ascii="Times New Roman" w:hAnsi="Times New Roman" w:eastAsia="Times New Roman" w:cs="Times New Roman"/>
          <w:b w:val="0"/>
          <w:i w:val="0"/>
          <w:caps w:val="0"/>
          <w:color w:val="000000" w:themeColor="text1"/>
          <w:spacing w:val="0"/>
          <w:sz w:val="20"/>
          <w:szCs w:val="20"/>
          <w:u w:val="single"/>
          <w14:textFill>
            <w14:solidFill>
              <w14:schemeClr w14:val="tx1"/>
            </w14:solidFill>
          </w14:textFill>
        </w:rPr>
        <w:fldChar w:fldCharType="end"/>
      </w: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w:t>
      </w:r>
    </w:p>
    <w:p>
      <w:pPr>
        <w:pStyle w:val="2"/>
        <w:widowControl/>
        <w:snapToGrid w:val="0"/>
        <w:spacing w:beforeAutospacing="0" w:after="300" w:afterAutospacing="0" w:line="216" w:lineRule="auto"/>
        <w:ind w:left="0" w:firstLine="0"/>
        <w:rPr>
          <w:rFonts w:hint="default" w:ascii="Times New Roman" w:hAnsi="Times New Roman" w:eastAsia="Times New Roman" w:cs="Times New Roman"/>
          <w:b w:val="0"/>
          <w:i w:val="0"/>
          <w:caps w:val="0"/>
          <w:color w:val="000000" w:themeColor="text1"/>
          <w:spacing w:val="0"/>
          <w:sz w:val="24"/>
          <w:szCs w:val="24"/>
          <w:u w:val="none"/>
          <w14:textFill>
            <w14:solidFill>
              <w14:schemeClr w14:val="tx1"/>
            </w14:solidFill>
          </w14:textFill>
        </w:rPr>
      </w:pPr>
      <w:r>
        <w:rPr>
          <w:rFonts w:hint="default" w:ascii="Times New Roman" w:hAnsi="Times New Roman" w:eastAsia="Times New Roman" w:cs="Times New Roman"/>
          <w:b w:val="0"/>
          <w:i w:val="0"/>
          <w:caps w:val="0"/>
          <w:color w:val="000000" w:themeColor="text1"/>
          <w:spacing w:val="0"/>
          <w:sz w:val="20"/>
          <w:szCs w:val="20"/>
          <w:u w:val="none"/>
          <w14:textFill>
            <w14:solidFill>
              <w14:schemeClr w14:val="tx1"/>
            </w14:solidFill>
          </w14:textFill>
        </w:rPr>
        <w:t>The left and right cavernous sinuses communicate by through the anterior and posterior intercavernous sinuses. The cavernous sinus drains to the superior and inferior petrosal sinuses, which then join the sigmoid sinus.</w:t>
      </w:r>
    </w:p>
    <w:p>
      <w:pPr>
        <w:snapToGrid w:val="0"/>
        <w:spacing w:line="240" w:lineRule="auto"/>
        <w:rPr>
          <w:rFonts w:hint="default" w:ascii="Times New Roman" w:hAnsi="Times New Roman" w:eastAsia="Times New Roman" w:cs="Times New Roman"/>
          <w:b w:val="0"/>
          <w:bCs w:val="0"/>
          <w:color w:val="000000" w:themeColor="text1"/>
          <w:u w:val="single"/>
          <w:lang w:val="en-US"/>
          <w14:textFill>
            <w14:solidFill>
              <w14:schemeClr w14:val="tx1"/>
            </w14:solidFill>
          </w14:textFill>
        </w:rPr>
      </w:pPr>
      <w:r>
        <w:rPr>
          <w:rFonts w:hint="default" w:ascii="Times New Roman" w:hAnsi="Times New Roman" w:eastAsia="Times New Roman" w:cs="Times New Roman"/>
          <w:color w:val="000000" w:themeColor="text1"/>
          <w14:textFill>
            <w14:solidFill>
              <w14:schemeClr w14:val="tx1"/>
            </w14:solidFill>
          </w14:textFill>
        </w:rPr>
        <w:drawing>
          <wp:anchor distT="0" distB="0" distL="114300" distR="114300" simplePos="0" relativeHeight="251658240" behindDoc="1" locked="0" layoutInCell="1" allowOverlap="1">
            <wp:simplePos x="0" y="0"/>
            <wp:positionH relativeFrom="column">
              <wp:posOffset>156845</wp:posOffset>
            </wp:positionH>
            <wp:positionV relativeFrom="paragraph">
              <wp:posOffset>151765</wp:posOffset>
            </wp:positionV>
            <wp:extent cx="3568700" cy="2341245"/>
            <wp:effectExtent l="0" t="0" r="635" b="5715"/>
            <wp:wrapTight wrapText="bothSides">
              <wp:wrapPolygon>
                <wp:start x="0" y="0"/>
                <wp:lineTo x="0" y="21717"/>
                <wp:lineTo x="21646" y="21717"/>
                <wp:lineTo x="216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stretch>
                      <a:fillRect/>
                    </a:stretch>
                  </pic:blipFill>
                  <pic:spPr>
                    <a:xfrm>
                      <a:off x="0" y="0"/>
                      <a:ext cx="3568700" cy="2341245"/>
                    </a:xfrm>
                    <a:prstGeom prst="rect">
                      <a:avLst/>
                    </a:prstGeom>
                    <a:noFill/>
                    <a:ln w="9525">
                      <a:noFill/>
                    </a:ln>
                  </pic:spPr>
                </pic:pic>
              </a:graphicData>
            </a:graphic>
          </wp:anchor>
        </w:drawing>
      </w:r>
      <w:r>
        <w:rPr>
          <w:rFonts w:hint="default" w:ascii="Times New Roman" w:hAnsi="Times New Roman" w:eastAsia="Times New Roman" w:cs="Times New Roman"/>
          <w:b w:val="0"/>
          <w:bCs w:val="0"/>
          <w:color w:val="000000" w:themeColor="text1"/>
          <w:u w:val="single"/>
          <w:lang w:val="en-US"/>
          <w14:textFill>
            <w14:solidFill>
              <w14:schemeClr w14:val="tx1"/>
            </w14:solidFill>
          </w14:textFill>
        </w:rPr>
        <w:t>Structures passing through the cavernous sinus</w:t>
      </w:r>
    </w:p>
    <w:p>
      <w:pPr>
        <w:snapToGrid w:val="0"/>
        <w:spacing w:line="240" w:lineRule="auto"/>
        <w:rPr>
          <w:rFonts w:hint="default" w:ascii="Times New Roman" w:hAnsi="Times New Roman" w:eastAsia="Times New Roman" w:cs="Times New Roman"/>
          <w:b w:val="0"/>
          <w:bCs w:val="0"/>
          <w:color w:val="000000" w:themeColor="text1"/>
          <w:u w:val="single"/>
          <w:lang w:val="en-US"/>
          <w14:textFill>
            <w14:solidFill>
              <w14:schemeClr w14:val="tx1"/>
            </w14:solidFill>
          </w14:textFill>
        </w:rPr>
      </w:pP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The cavernous sinus is of great clinical importance because of the structures passing through them;</w:t>
      </w: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 xml:space="preserve">Structures passing through the sinus include; </w:t>
      </w: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 xml:space="preserve">-the internal carotid artery </w:t>
      </w: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-the abducens nerve (CN VI)</w:t>
      </w: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Structures passing through the lateral walls of the sinus include the;</w:t>
      </w: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 Oculomotor nerve (CN III)</w:t>
      </w: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 Trochlear nerve (CN IV)</w:t>
      </w: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 Trigeminal nerve; ophthalmic division (CN V1)</w:t>
      </w: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 Trigeminal nerve; maxillary division (CN V2)</w:t>
      </w: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u w:val="single"/>
          <w:lang w:val="en-US"/>
          <w14:textFill>
            <w14:solidFill>
              <w14:schemeClr w14:val="tx1"/>
            </w14:solidFill>
          </w14:textFill>
        </w:rPr>
        <w:t>Relations of the cavernous sinus</w:t>
      </w: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Medial to the sinus is the lateral wall of the pituitary fossa with the pituitary gland, the sphenoid bone and air sinus</w:t>
      </w: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Lateral to the cavernous sinus is Medial part of temporal lobe</w:t>
      </w: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Superior to the cavernous sinus is the internal carotid artery</w:t>
      </w: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Posterosuperior to the cavernous sinus is the uncus of the temporal lobe</w:t>
      </w: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p>
    <w:p>
      <w:pPr>
        <w:snapToGrid w:val="0"/>
        <w:spacing w:line="240" w:lineRule="auto"/>
        <w:rPr>
          <w:rFonts w:hint="default" w:ascii="Times New Roman" w:hAnsi="Times New Roman" w:eastAsia="Times New Roman" w:cs="Times New Roman"/>
          <w:b w:val="0"/>
          <w:bCs w:val="0"/>
          <w:color w:val="000000" w:themeColor="text1"/>
          <w:u w:val="single"/>
          <w:lang w:val="en-US"/>
          <w14:textFill>
            <w14:solidFill>
              <w14:schemeClr w14:val="tx1"/>
            </w14:solidFill>
          </w14:textFill>
        </w:rPr>
      </w:pPr>
      <w:r>
        <w:rPr>
          <w:rFonts w:hint="default" w:ascii="Times New Roman" w:hAnsi="Times New Roman" w:eastAsia="Times New Roman" w:cs="Times New Roman"/>
          <w:b w:val="0"/>
          <w:bCs w:val="0"/>
          <w:color w:val="000000" w:themeColor="text1"/>
          <w:u w:val="single"/>
          <w:lang w:val="en-US"/>
          <w14:textFill>
            <w14:solidFill>
              <w14:schemeClr w14:val="tx1"/>
            </w14:solidFill>
          </w14:textFill>
        </w:rPr>
        <w:t>Applied anatomy</w:t>
      </w: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1.Carotid-cavernous fistula; head trauma can lead to the rupture of the cavernous part of the carotid artery And this would cause a carotid-cavernous fistula. This can cause pulsating exophthalmus because the venous pressure would increase and this would cause the blood in the ophthalmic veins to flow in the wrong direction</w:t>
      </w: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 xml:space="preserve">2.Cavernous Sinus thrombosis; infection can spread easily especially from the danger area that is the triangle surrounding the nasal labial area of the face. Infection from this area can lead to a thrombosis which would reach the cavernous sinus and cause blockage. This can lead to further damage or injury of the structures passing through the cavernous sinus. E.g internal strabismus if cranial VI was damaged, double vision when looking downward if CN IV was damaged and ophthalmoplegia. </w:t>
      </w: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p>
    <w:p>
      <w:pPr>
        <w:snapToGrid w:val="0"/>
        <w:spacing w:line="240" w:lineRule="auto"/>
        <w:rPr>
          <w:rFonts w:hint="default" w:ascii="Times New Roman" w:hAnsi="Times New Roman" w:eastAsia="Times New Roman" w:cs="Times New Roman"/>
          <w:b/>
          <w:bCs/>
          <w:color w:val="000000" w:themeColor="text1"/>
          <w:lang w:val="en-US"/>
          <w14:textFill>
            <w14:solidFill>
              <w14:schemeClr w14:val="tx1"/>
            </w14:solidFill>
          </w14:textFill>
        </w:rPr>
      </w:pPr>
      <w:r>
        <w:rPr>
          <w:rFonts w:hint="default" w:ascii="Times New Roman" w:hAnsi="Times New Roman" w:eastAsia="Times New Roman" w:cs="Times New Roman"/>
          <w:b/>
          <w:bCs/>
          <w:color w:val="000000" w:themeColor="text1"/>
          <w:lang w:val="en-US"/>
          <w14:textFill>
            <w14:solidFill>
              <w14:schemeClr w14:val="tx1"/>
            </w14:solidFill>
          </w14:textFill>
        </w:rPr>
        <w:t>QUESTION 2 - walls of the nose</w:t>
      </w: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The nasal cavity is made up of a floor, a roof, a medial wall and a lateral wall.</w:t>
      </w: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p>
    <w:p>
      <w:pPr>
        <w:numPr>
          <w:ilvl w:val="0"/>
          <w:numId w:val="1"/>
        </w:numPr>
        <w:snapToGrid w:val="0"/>
        <w:spacing w:line="240" w:lineRule="auto"/>
        <w:ind w:left="425" w:leftChars="0" w:hanging="425" w:firstLine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u w:val="single"/>
          <w:lang w:val="en-US"/>
          <w14:textFill>
            <w14:solidFill>
              <w14:schemeClr w14:val="tx1"/>
            </w14:solidFill>
          </w14:textFill>
        </w:rPr>
        <w:t>THE FLOOR</w:t>
      </w: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The floor of the nasal cavity is composed of ;</w:t>
      </w: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 xml:space="preserve">- The palatine process of the maxilla making up the anterior 3/4th </w:t>
      </w: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 The horizontal process of the palatine bone making up the posterior 1/4th</w:t>
      </w:r>
    </w:p>
    <w:p>
      <w:pPr>
        <w:snapToGrid w:val="0"/>
        <w:spacing w:line="240" w:lineRule="auto"/>
        <w:rPr>
          <w:rFonts w:hint="default" w:ascii="Times New Roman" w:hAnsi="Times New Roman" w:eastAsia="Times New Roman" w:cs="Times New Roman"/>
          <w:b w:val="0"/>
          <w:bCs w:val="0"/>
          <w:color w:val="000000" w:themeColor="text1"/>
          <w:u w:val="single"/>
          <w:lang w:val="en-US"/>
          <w14:textFill>
            <w14:solidFill>
              <w14:schemeClr w14:val="tx1"/>
            </w14:solidFill>
          </w14:textFill>
        </w:rPr>
      </w:pPr>
    </w:p>
    <w:p>
      <w:pPr>
        <w:numPr>
          <w:ilvl w:val="0"/>
          <w:numId w:val="1"/>
        </w:numPr>
        <w:snapToGrid w:val="0"/>
        <w:spacing w:line="240" w:lineRule="auto"/>
        <w:ind w:left="425" w:leftChars="0" w:hanging="425" w:firstLine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u w:val="single"/>
          <w:lang w:val="en-US"/>
          <w14:textFill>
            <w14:solidFill>
              <w14:schemeClr w14:val="tx1"/>
            </w14:solidFill>
          </w14:textFill>
        </w:rPr>
        <w:t>THE ROOF</w:t>
      </w: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 xml:space="preserve">The roof of the nasal cavity is composed of ; </w:t>
      </w: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 An anterior slope made up of the nasal bone</w:t>
      </w: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 A posterior slope made up of the body of sphenoid</w:t>
      </w: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 A middle horizontal bone made up of cribriform plate of the ethmoid bone through which the olfactory nerves pass through.</w:t>
      </w: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p>
    <w:p>
      <w:pPr>
        <w:numPr>
          <w:ilvl w:val="0"/>
          <w:numId w:val="1"/>
        </w:numPr>
        <w:snapToGrid w:val="0"/>
        <w:spacing w:line="240" w:lineRule="auto"/>
        <w:ind w:left="425" w:leftChars="0" w:hanging="425" w:firstLine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u w:val="single"/>
          <w:lang w:val="en-US"/>
          <w14:textFill>
            <w14:solidFill>
              <w14:schemeClr w14:val="tx1"/>
            </w14:solidFill>
          </w14:textFill>
        </w:rPr>
        <w:t>THE MEDIAL WALL aka the NASAL SEPTUM</w:t>
      </w: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drawing>
          <wp:inline distT="0" distB="0" distL="114300" distR="114300">
            <wp:extent cx="2544445" cy="2648585"/>
            <wp:effectExtent l="0" t="0" r="508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stretch>
                      <a:fillRect/>
                    </a:stretch>
                  </pic:blipFill>
                  <pic:spPr>
                    <a:xfrm>
                      <a:off x="0" y="0"/>
                      <a:ext cx="2544445" cy="2648585"/>
                    </a:xfrm>
                    <a:prstGeom prst="rect">
                      <a:avLst/>
                    </a:prstGeom>
                    <a:noFill/>
                    <a:ln w="9525">
                      <a:noFill/>
                    </a:ln>
                  </pic:spPr>
                </pic:pic>
              </a:graphicData>
            </a:graphic>
          </wp:inline>
        </w:drawing>
      </w: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The medial wall is made up of cartilage and the septum proper</w:t>
      </w:r>
    </w:p>
    <w:p>
      <w:pPr>
        <w:snapToGrid w:val="0"/>
        <w:spacing w:line="240" w:lineRule="auto"/>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 xml:space="preserve">The septum proper constitutes; </w:t>
      </w:r>
    </w:p>
    <w:p>
      <w:pPr>
        <w:numPr>
          <w:ilvl w:val="0"/>
          <w:numId w:val="2"/>
        </w:numPr>
        <w:snapToGrid w:val="0"/>
        <w:spacing w:line="240" w:lineRule="auto"/>
        <w:ind w:left="420" w:leftChars="0" w:hanging="420" w:firstLine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Septal cartilage</w:t>
      </w:r>
    </w:p>
    <w:p>
      <w:pPr>
        <w:numPr>
          <w:ilvl w:val="0"/>
          <w:numId w:val="2"/>
        </w:numPr>
        <w:snapToGrid w:val="0"/>
        <w:spacing w:line="240" w:lineRule="auto"/>
        <w:ind w:left="420" w:leftChars="0" w:hanging="420" w:firstLine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 xml:space="preserve">The perpendicular plate of the ethmoid postero-superiorly </w:t>
      </w:r>
    </w:p>
    <w:p>
      <w:pPr>
        <w:numPr>
          <w:ilvl w:val="0"/>
          <w:numId w:val="2"/>
        </w:numPr>
        <w:snapToGrid w:val="0"/>
        <w:spacing w:line="240" w:lineRule="auto"/>
        <w:ind w:left="420" w:leftChars="0" w:hanging="420" w:firstLine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The vomer postero-inferiorly</w:t>
      </w: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These articulate ate with the following bones to complete the septum</w:t>
      </w: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 superiorly; the nasal bone, the frontal bone and the rostrum of the sphenoid</w:t>
      </w: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 xml:space="preserve">- inferiorly with the nasal crest of the maxilla, the anterior nasal spine of the maxilla and the palatine bone. </w:t>
      </w:r>
    </w:p>
    <w:p>
      <w:pPr>
        <w:numPr>
          <w:ilvl w:val="0"/>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The osteocartilaginous framework of the septum proper is covered with nasal mucous membrane.</w:t>
      </w: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 xml:space="preserve">THE BLOOD SUPPLY </w:t>
      </w: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drawing>
          <wp:inline distT="0" distB="0" distL="114300" distR="114300">
            <wp:extent cx="3400425" cy="2503805"/>
            <wp:effectExtent l="0" t="0" r="127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stretch>
                      <a:fillRect/>
                    </a:stretch>
                  </pic:blipFill>
                  <pic:spPr>
                    <a:xfrm>
                      <a:off x="0" y="0"/>
                      <a:ext cx="3400425" cy="2503805"/>
                    </a:xfrm>
                    <a:prstGeom prst="rect">
                      <a:avLst/>
                    </a:prstGeom>
                    <a:noFill/>
                    <a:ln w="9525">
                      <a:noFill/>
                    </a:ln>
                  </pic:spPr>
                </pic:pic>
              </a:graphicData>
            </a:graphic>
          </wp:inline>
        </w:drawing>
      </w: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 xml:space="preserve">- </w:t>
      </w:r>
      <w:r>
        <w:rPr>
          <w:rFonts w:hint="default" w:ascii="Times New Roman" w:hAnsi="Times New Roman" w:eastAsia="Times New Roman" w:cs="Times New Roman"/>
          <w:b w:val="0"/>
          <w:bCs w:val="0"/>
          <w:color w:val="000000" w:themeColor="text1"/>
          <w:u w:val="single"/>
          <w:lang w:val="en-US"/>
          <w14:textFill>
            <w14:solidFill>
              <w14:schemeClr w14:val="tx1"/>
            </w14:solidFill>
          </w14:textFill>
        </w:rPr>
        <w:t>little’s area</w:t>
      </w:r>
      <w:r>
        <w:rPr>
          <w:rFonts w:hint="default" w:ascii="Times New Roman" w:hAnsi="Times New Roman" w:eastAsia="Times New Roman" w:cs="Times New Roman"/>
          <w:b w:val="0"/>
          <w:bCs w:val="0"/>
          <w:color w:val="000000" w:themeColor="text1"/>
          <w:lang w:val="en-US"/>
          <w14:textFill>
            <w14:solidFill>
              <w14:schemeClr w14:val="tx1"/>
            </w14:solidFill>
          </w14:textFill>
        </w:rPr>
        <w:t>; septal branches from of the superior labial artery, the greater palatine artery, anterior ethmoidal artery, the posterior ethmoidal artery and the sphenopalatine artery form an anastamosis at an area just above the vestibule called the Kiesselbach’s plexus.</w:t>
      </w: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 xml:space="preserve">- </w:t>
      </w:r>
      <w:r>
        <w:rPr>
          <w:rFonts w:hint="default" w:ascii="Times New Roman" w:hAnsi="Times New Roman" w:eastAsia="Times New Roman" w:cs="Times New Roman"/>
          <w:b w:val="0"/>
          <w:bCs w:val="0"/>
          <w:color w:val="000000" w:themeColor="text1"/>
          <w:u w:val="single"/>
          <w:lang w:val="en-US"/>
          <w14:textFill>
            <w14:solidFill>
              <w14:schemeClr w14:val="tx1"/>
            </w14:solidFill>
          </w14:textFill>
        </w:rPr>
        <w:t>Woodruff’s area</w:t>
      </w:r>
      <w:r>
        <w:rPr>
          <w:rFonts w:hint="default" w:ascii="Times New Roman" w:hAnsi="Times New Roman" w:eastAsia="Times New Roman" w:cs="Times New Roman"/>
          <w:b w:val="0"/>
          <w:bCs w:val="0"/>
          <w:color w:val="000000" w:themeColor="text1"/>
          <w:lang w:val="en-US"/>
          <w14:textFill>
            <w14:solidFill>
              <w14:schemeClr w14:val="tx1"/>
            </w14:solidFill>
          </w14:textFill>
        </w:rPr>
        <w:t>; there is a venous plexus located at the posterior wall of the nasal septum</w:t>
      </w: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INNERVATION</w:t>
      </w: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 xml:space="preserve">ANTERIOR SUPPLY; the anterior nasal septum is supplied by an anterior ethmoidal branch from the nasociliary nerve and a small area above the vestibule is supplied by the anterior superior alveolar nerve. </w:t>
      </w: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POSTERIOR SUPPLY; the posterior nasal septum is supplied by the nasopalatine nerve and it also receives a branch from the nerve to to the pterygoid canal.</w:t>
      </w: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LYMPHATIC DRAINAGE</w:t>
      </w: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Drains a anteriorly to the submandibular lymph nodes.</w:t>
      </w: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And posteriorly to the retropharyngeal and anterior deep cervical lymph nodes.</w:t>
      </w: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p>
    <w:p>
      <w:pPr>
        <w:numPr>
          <w:numId w:val="0"/>
        </w:numPr>
        <w:snapToGrid w:val="0"/>
        <w:spacing w:line="240" w:lineRule="auto"/>
        <w:ind w:leftChars="0"/>
        <w:rPr>
          <w:rFonts w:hint="default" w:ascii="Times New Roman" w:hAnsi="Times New Roman" w:eastAsia="Times New Roman" w:cs="Times New Roman"/>
          <w:b w:val="0"/>
          <w:bCs w:val="0"/>
          <w:color w:val="000000" w:themeColor="text1"/>
          <w:u w:val="single"/>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4.</w:t>
      </w:r>
      <w:r>
        <w:rPr>
          <w:rFonts w:hint="default" w:ascii="Times New Roman" w:hAnsi="Times New Roman" w:eastAsia="Times New Roman" w:cs="Times New Roman"/>
          <w:b w:val="0"/>
          <w:bCs w:val="0"/>
          <w:color w:val="000000" w:themeColor="text1"/>
          <w:lang w:val="en-US"/>
          <w14:textFill>
            <w14:solidFill>
              <w14:schemeClr w14:val="tx1"/>
            </w14:solidFill>
          </w14:textFill>
        </w:rPr>
        <w:tab/>
      </w:r>
      <w:r>
        <w:rPr>
          <w:rFonts w:hint="default" w:ascii="Times New Roman" w:hAnsi="Times New Roman" w:eastAsia="Times New Roman" w:cs="Times New Roman"/>
          <w:b w:val="0"/>
          <w:bCs w:val="0"/>
          <w:color w:val="000000" w:themeColor="text1"/>
          <w:u w:val="single"/>
          <w:lang w:val="en-US"/>
          <w14:textFill>
            <w14:solidFill>
              <w14:schemeClr w14:val="tx1"/>
            </w14:solidFill>
          </w14:textFill>
        </w:rPr>
        <w:t>THE LATERAL WALL</w:t>
      </w:r>
    </w:p>
    <w:p>
      <w:pPr>
        <w:numPr>
          <w:numId w:val="0"/>
        </w:numPr>
        <w:snapToGrid w:val="0"/>
        <w:spacing w:line="240" w:lineRule="auto"/>
        <w:ind w:leftChars="0"/>
        <w:rPr>
          <w:rFonts w:hint="default" w:ascii="Times New Roman" w:hAnsi="Times New Roman" w:eastAsia="Times New Roman" w:cs="Times New Roman"/>
          <w:b w:val="0"/>
          <w:bCs w:val="0"/>
          <w:color w:val="000000" w:themeColor="text1"/>
          <w:u w:val="single"/>
          <w:lang w:val="en-US"/>
          <w14:textFill>
            <w14:solidFill>
              <w14:schemeClr w14:val="tx1"/>
            </w14:solidFill>
          </w14:textFill>
        </w:rPr>
      </w:pPr>
      <w:r>
        <w:drawing>
          <wp:inline distT="0" distB="0" distL="114300" distR="114300">
            <wp:extent cx="3329940" cy="2723515"/>
            <wp:effectExtent l="0" t="0" r="190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stretch>
                      <a:fillRect/>
                    </a:stretch>
                  </pic:blipFill>
                  <pic:spPr>
                    <a:xfrm>
                      <a:off x="0" y="0"/>
                      <a:ext cx="3329940" cy="2723515"/>
                    </a:xfrm>
                    <a:prstGeom prst="rect">
                      <a:avLst/>
                    </a:prstGeom>
                    <a:noFill/>
                    <a:ln w="9525">
                      <a:noFill/>
                    </a:ln>
                  </pic:spPr>
                </pic:pic>
              </a:graphicData>
            </a:graphic>
          </wp:inline>
        </w:drawing>
      </w:r>
      <w:bookmarkStart w:id="0" w:name="_GoBack"/>
      <w:bookmarkEnd w:id="0"/>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it’s made up of ;</w:t>
      </w: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-Medial part of the maxilla</w:t>
      </w: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-Ethmoid bone</w:t>
      </w: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-Nasal bone</w:t>
      </w: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-Ascending part of the maxilla</w:t>
      </w: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-Inferior nasal concha</w:t>
      </w: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-Medial pterygoid plate</w:t>
      </w: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-Perpendicular plate of the palatine bone</w:t>
      </w: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The lateral wall has projections called concha; they are long and narrow curled projections that  protrudes into the breathing passage of the nose to interrupt air flow in order to increase its contact with the blood blood vessels that line the nasal cavity.</w:t>
      </w: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The conchae;</w:t>
      </w: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The superior conchae; part of the ethmoid</w:t>
      </w: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The middle conchae; part of the ethmoid</w:t>
      </w: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The inferior conchae; a whole separate bone</w:t>
      </w: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And sometimes the presence of a fourth conchae called the concha suprema</w:t>
      </w: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val="0"/>
          <w:bCs w:val="0"/>
          <w:color w:val="000000" w:themeColor="text1"/>
          <w:lang w:val="en-US"/>
          <w14:textFill>
            <w14:solidFill>
              <w14:schemeClr w14:val="tx1"/>
            </w14:solidFill>
          </w14:textFill>
        </w:rPr>
        <w:t>Below and lateral to each conchae is a corresponding meatus;</w:t>
      </w: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bCs/>
          <w:color w:val="000000" w:themeColor="text1"/>
          <w:lang w:val="en-US"/>
          <w14:textFill>
            <w14:solidFill>
              <w14:schemeClr w14:val="tx1"/>
            </w14:solidFill>
          </w14:textFill>
        </w:rPr>
        <w:t>The inferior meatus;</w:t>
      </w:r>
      <w:r>
        <w:rPr>
          <w:rFonts w:hint="default" w:ascii="Times New Roman" w:hAnsi="Times New Roman" w:eastAsia="Times New Roman" w:cs="Times New Roman"/>
          <w:b w:val="0"/>
          <w:bCs w:val="0"/>
          <w:color w:val="000000" w:themeColor="text1"/>
          <w:lang w:val="en-US"/>
          <w14:textFill>
            <w14:solidFill>
              <w14:schemeClr w14:val="tx1"/>
            </w14:solidFill>
          </w14:textFill>
        </w:rPr>
        <w:t xml:space="preserve"> the nacsolacrimal duct opens into its anterior part.</w:t>
      </w: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bCs/>
          <w:color w:val="000000" w:themeColor="text1"/>
          <w:lang w:val="en-US"/>
          <w14:textFill>
            <w14:solidFill>
              <w14:schemeClr w14:val="tx1"/>
            </w14:solidFill>
          </w14:textFill>
        </w:rPr>
        <w:t xml:space="preserve">The middle meatus; </w:t>
      </w:r>
      <w:r>
        <w:rPr>
          <w:rFonts w:hint="default" w:ascii="Times New Roman" w:hAnsi="Times New Roman" w:eastAsia="Times New Roman" w:cs="Times New Roman"/>
          <w:b w:val="0"/>
          <w:bCs w:val="0"/>
          <w:color w:val="000000" w:themeColor="text1"/>
          <w:lang w:val="en-US"/>
          <w14:textFill>
            <w14:solidFill>
              <w14:schemeClr w14:val="tx1"/>
            </w14:solidFill>
          </w14:textFill>
        </w:rPr>
        <w:t>the frontal, maxillary and anterior ethmoidal sinus open into this. It constitutes the bulla ethmoidalis, the hiatus semilunaris, and the infundibulum .</w:t>
      </w: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bCs/>
          <w:color w:val="000000" w:themeColor="text1"/>
          <w:lang w:val="en-US"/>
          <w14:textFill>
            <w14:solidFill>
              <w14:schemeClr w14:val="tx1"/>
            </w14:solidFill>
          </w14:textFill>
        </w:rPr>
        <w:t>The superior meatus;</w:t>
      </w:r>
      <w:r>
        <w:rPr>
          <w:rFonts w:hint="default" w:ascii="Times New Roman" w:hAnsi="Times New Roman" w:eastAsia="Times New Roman" w:cs="Times New Roman"/>
          <w:b w:val="0"/>
          <w:bCs w:val="0"/>
          <w:color w:val="000000" w:themeColor="text1"/>
          <w:lang w:val="en-US"/>
          <w14:textFill>
            <w14:solidFill>
              <w14:schemeClr w14:val="tx1"/>
            </w14:solidFill>
          </w14:textFill>
        </w:rPr>
        <w:t xml:space="preserve"> the posterior ethmoidal sinus opens into it.</w:t>
      </w:r>
    </w:p>
    <w:p>
      <w:pPr>
        <w:numPr>
          <w:numId w:val="0"/>
        </w:numPr>
        <w:snapToGrid w:val="0"/>
        <w:spacing w:line="240" w:lineRule="auto"/>
        <w:ind w:leftChars="0"/>
        <w:rPr>
          <w:rFonts w:hint="default" w:ascii="Times New Roman" w:hAnsi="Times New Roman" w:eastAsia="Times New Roman" w:cs="Times New Roman"/>
          <w:b w:val="0"/>
          <w:bCs w:val="0"/>
          <w:color w:val="000000" w:themeColor="text1"/>
          <w:lang w:val="en-US"/>
          <w14:textFill>
            <w14:solidFill>
              <w14:schemeClr w14:val="tx1"/>
            </w14:solidFill>
          </w14:textFill>
        </w:rPr>
      </w:pPr>
      <w:r>
        <w:rPr>
          <w:rFonts w:hint="default" w:ascii="Times New Roman" w:hAnsi="Times New Roman" w:eastAsia="Times New Roman" w:cs="Times New Roman"/>
          <w:b/>
          <w:bCs/>
          <w:color w:val="000000" w:themeColor="text1"/>
          <w:lang w:val="en-US"/>
          <w14:textFill>
            <w14:solidFill>
              <w14:schemeClr w14:val="tx1"/>
            </w14:solidFill>
          </w14:textFill>
        </w:rPr>
        <w:t>The sphenoethmoidal recess;</w:t>
      </w:r>
      <w:r>
        <w:rPr>
          <w:rFonts w:hint="default" w:ascii="Times New Roman" w:hAnsi="Times New Roman" w:eastAsia="Times New Roman" w:cs="Times New Roman"/>
          <w:b w:val="0"/>
          <w:bCs w:val="0"/>
          <w:color w:val="000000" w:themeColor="text1"/>
          <w:lang w:val="en-US"/>
          <w14:textFill>
            <w14:solidFill>
              <w14:schemeClr w14:val="tx1"/>
            </w14:solidFill>
          </w14:textFill>
        </w:rPr>
        <w:t xml:space="preserve"> a triangular fossa that lies above the superior meatus. The Sphenoidal sinus opens into it.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PlutoSansLight">
    <w:panose1 w:val="00000000000000000000"/>
    <w:charset w:val="00"/>
    <w:family w:val="auto"/>
    <w:pitch w:val="default"/>
    <w:sig w:usb0="00000000" w:usb1="00000000" w:usb2="00000000" w:usb3="00000000" w:csb0="00000000" w:csb1="00000000"/>
  </w:font>
  <w:font w:name="PlutoSansMedium">
    <w:panose1 w:val="00000000000000000000"/>
    <w:charset w:val="00"/>
    <w:family w:val="auto"/>
    <w:pitch w:val="default"/>
    <w:sig w:usb0="00000000" w:usb1="00000000" w:usb2="00000000" w:usb3="00000000" w:csb0="00000000" w:csb1="00000000"/>
  </w:font>
  <w:font w:name="Zapfino">
    <w:panose1 w:val="00000000000000000000"/>
    <w:charset w:val="00"/>
    <w:family w:val="auto"/>
    <w:pitch w:val="default"/>
    <w:sig w:usb0="00000000" w:usb1="00000000" w:usb2="00000000" w:usb3="00000000" w:csb0="00000000" w:csb1="00000000"/>
  </w:font>
  <w:font w:name="Symbol">
    <w:panose1 w:val="00000000000000000000"/>
    <w:charset w:val="00"/>
    <w:family w:val="auto"/>
    <w:pitch w:val="default"/>
    <w:sig w:usb0="00000000" w:usb1="00000000" w:usb2="00000000" w:usb3="00000000" w:csb0="00000000" w:csb1="00000000"/>
  </w:font>
  <w:font w:name="Academy Engraved LET">
    <w:panose1 w:val="00000000000000000000"/>
    <w:charset w:val="00"/>
    <w:family w:val="auto"/>
    <w:pitch w:val="default"/>
    <w:sig w:usb0="00000000" w:usb1="00000000" w:usb2="00000000" w:usb3="00000000" w:csb0="00000000" w:csb1="00000000"/>
  </w:font>
  <w:font w:name="PlutoSansRegular">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A924F7"/>
    <w:multiLevelType w:val="singleLevel"/>
    <w:tmpl w:val="5EA924F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5EA927AA"/>
    <w:multiLevelType w:val="singleLevel"/>
    <w:tmpl w:val="5EA927AA"/>
    <w:lvl w:ilvl="0" w:tentative="0">
      <w:start w:val="1"/>
      <w:numFmt w:val="decimal"/>
      <w:lvlText w:val="%1."/>
      <w:lvlJc w:val="left"/>
      <w:pPr>
        <w:tabs>
          <w:tab w:val="left" w:pos="425"/>
        </w:tabs>
        <w:ind w:left="425" w:leftChars="0" w:hanging="425" w:firstLineChars="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doNotBreakWrappedTables/>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2">
    <w:name w:val="Normal (Web)"/>
    <w:uiPriority w:val="0"/>
    <w:pPr>
      <w:spacing w:beforeAutospacing="1" w:after="0" w:afterAutospacing="1"/>
      <w:ind w:left="0" w:right="0"/>
      <w:jc w:val="left"/>
    </w:pPr>
    <w:rPr>
      <w:kern w:val="0"/>
      <w:sz w:val="24"/>
      <w:szCs w:val="24"/>
      <w:lang w:val="en-US" w:eastAsia="zh-CN" w:bidi="ar"/>
    </w:rPr>
  </w:style>
  <w:style w:type="character" w:styleId="4">
    <w:name w:val="Hyperlink"/>
    <w:basedOn w:val="3"/>
    <w:uiPriority w:val="0"/>
    <w:rPr>
      <w:color w:val="0000FF"/>
      <w:u w:val="single"/>
    </w:rPr>
  </w:style>
  <w:style w:type="character" w:styleId="5">
    <w:name w:val="Strong"/>
    <w:basedOn w:val="3"/>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2020-04-28T21:49:29Z</dcterms:created>
  <dc:creator>Karo’s iPad</dc:creator>
  <cp:lastModifiedBy>Karo’s iPad</cp:lastModifiedBy>
  <dcterms:modified xsi:type="dcterms:W3CDTF">2020-04-29T09:35:15Z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3081-10.6.1</vt:lpwstr>
  </property>
</Properties>
</file>