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89" w:rsidRPr="00676189" w:rsidRDefault="00676189">
      <w:pPr>
        <w:rPr>
          <w:b/>
          <w:color w:val="000000"/>
        </w:rPr>
      </w:pPr>
      <w:r w:rsidRPr="00676189">
        <w:rPr>
          <w:b/>
          <w:color w:val="000000"/>
        </w:rPr>
        <w:t>BERNARD EHI FAITH</w:t>
      </w:r>
    </w:p>
    <w:p w:rsidR="00676189" w:rsidRPr="00676189" w:rsidRDefault="00676189">
      <w:pPr>
        <w:rPr>
          <w:b/>
          <w:color w:val="000000"/>
        </w:rPr>
      </w:pPr>
      <w:r w:rsidRPr="00676189">
        <w:rPr>
          <w:b/>
          <w:color w:val="000000"/>
        </w:rPr>
        <w:t>17/MHS02/031</w:t>
      </w:r>
    </w:p>
    <w:p w:rsidR="00676189" w:rsidRPr="00676189" w:rsidRDefault="00676189">
      <w:pPr>
        <w:rPr>
          <w:b/>
          <w:color w:val="000000"/>
        </w:rPr>
      </w:pPr>
      <w:r w:rsidRPr="00676189">
        <w:rPr>
          <w:b/>
          <w:color w:val="000000"/>
        </w:rPr>
        <w:t>CHEMOTHERAPY OF MALARIAL PARASITES</w:t>
      </w:r>
    </w:p>
    <w:p w:rsidR="00676189" w:rsidRDefault="00381F07" w:rsidP="00381F07">
      <w:pPr>
        <w:pStyle w:val="NormalWeb"/>
        <w:numPr>
          <w:ilvl w:val="0"/>
          <w:numId w:val="2"/>
        </w:numPr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Classification of antimalarial agents</w:t>
      </w:r>
    </w:p>
    <w:p w:rsidR="00381F07" w:rsidRDefault="00381F07" w:rsidP="00381F07">
      <w:pPr>
        <w:pStyle w:val="NormalWeb"/>
        <w:numPr>
          <w:ilvl w:val="0"/>
          <w:numId w:val="3"/>
        </w:numPr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4-Aminoquinolines :  Chloroquine, Amodiaquine</w:t>
      </w:r>
    </w:p>
    <w:p w:rsidR="00381F07" w:rsidRDefault="00381F07" w:rsidP="00381F07">
      <w:pPr>
        <w:pStyle w:val="NormalWeb"/>
        <w:numPr>
          <w:ilvl w:val="0"/>
          <w:numId w:val="3"/>
        </w:numPr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Quino</w:t>
      </w:r>
      <w:r w:rsidR="006650FA">
        <w:rPr>
          <w:rFonts w:ascii="Segoe UI" w:hAnsi="Segoe UI" w:cs="Segoe UI"/>
          <w:b/>
          <w:color w:val="000000"/>
          <w:sz w:val="20"/>
          <w:szCs w:val="20"/>
        </w:rPr>
        <w:t xml:space="preserve">line;  methanol  </w:t>
      </w:r>
      <w:r>
        <w:rPr>
          <w:rFonts w:ascii="Segoe UI" w:hAnsi="Segoe UI" w:cs="Segoe UI"/>
          <w:b/>
          <w:color w:val="000000"/>
          <w:sz w:val="20"/>
          <w:szCs w:val="20"/>
        </w:rPr>
        <w:t xml:space="preserve">  mefloquine</w:t>
      </w:r>
    </w:p>
    <w:p w:rsidR="00381F07" w:rsidRDefault="00381F07" w:rsidP="00381F07">
      <w:pPr>
        <w:pStyle w:val="NormalWeb"/>
        <w:numPr>
          <w:ilvl w:val="0"/>
          <w:numId w:val="3"/>
        </w:numPr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Cinochona alkaloid:   Quinine, Quinidine </w:t>
      </w:r>
    </w:p>
    <w:p w:rsidR="00381F07" w:rsidRDefault="00381F07" w:rsidP="00381F07">
      <w:pPr>
        <w:pStyle w:val="NormalWeb"/>
        <w:numPr>
          <w:ilvl w:val="0"/>
          <w:numId w:val="3"/>
        </w:numPr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Biguanides:               proguanil (chloroguanide)</w:t>
      </w:r>
    </w:p>
    <w:p w:rsidR="00381F07" w:rsidRDefault="00381F07" w:rsidP="00381F07">
      <w:pPr>
        <w:pStyle w:val="NormalWeb"/>
        <w:numPr>
          <w:ilvl w:val="0"/>
          <w:numId w:val="3"/>
        </w:numPr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Diaminophyrimidine: Pyrimethamine</w:t>
      </w:r>
    </w:p>
    <w:p w:rsidR="00381F07" w:rsidRDefault="00381F07" w:rsidP="00381F07">
      <w:pPr>
        <w:pStyle w:val="NormalWeb"/>
        <w:numPr>
          <w:ilvl w:val="0"/>
          <w:numId w:val="3"/>
        </w:numPr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8-Aminoquinoline: primaquine ,Tefenoquine</w:t>
      </w:r>
    </w:p>
    <w:p w:rsidR="00381F07" w:rsidRDefault="00381F07" w:rsidP="00381F07">
      <w:pPr>
        <w:pStyle w:val="NormalWeb"/>
        <w:numPr>
          <w:ilvl w:val="0"/>
          <w:numId w:val="3"/>
        </w:numPr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Sulfonamides and sulfone : Sulfadoxine, Sulfamethopyrazine  Dapsone</w:t>
      </w:r>
    </w:p>
    <w:p w:rsidR="00381F07" w:rsidRDefault="00381F07" w:rsidP="00381F07">
      <w:pPr>
        <w:pStyle w:val="NormalWeb"/>
        <w:numPr>
          <w:ilvl w:val="0"/>
          <w:numId w:val="3"/>
        </w:numPr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Antibiotics: Tetracyclins Doxycycline </w:t>
      </w:r>
    </w:p>
    <w:p w:rsidR="00381F07" w:rsidRDefault="00381F07" w:rsidP="00381F07">
      <w:pPr>
        <w:pStyle w:val="NormalWeb"/>
        <w:numPr>
          <w:ilvl w:val="0"/>
          <w:numId w:val="3"/>
        </w:numPr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Sesquiterpine lactose: Artesunate Artemether Areether</w:t>
      </w:r>
    </w:p>
    <w:p w:rsidR="00381F07" w:rsidRDefault="00381F07" w:rsidP="00381F07">
      <w:pPr>
        <w:pStyle w:val="NormalWeb"/>
        <w:numPr>
          <w:ilvl w:val="0"/>
          <w:numId w:val="3"/>
        </w:numPr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Amino alcohols: Halofantrine Lumefantrine </w:t>
      </w:r>
    </w:p>
    <w:p w:rsidR="00381F07" w:rsidRDefault="00381F07" w:rsidP="00381F07">
      <w:pPr>
        <w:pStyle w:val="NormalWeb"/>
        <w:numPr>
          <w:ilvl w:val="0"/>
          <w:numId w:val="3"/>
        </w:numPr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Napthyridine : Pyronaridine </w:t>
      </w:r>
    </w:p>
    <w:p w:rsidR="00381F07" w:rsidRPr="00381F07" w:rsidRDefault="00381F07" w:rsidP="00381F07">
      <w:pPr>
        <w:pStyle w:val="NormalWeb"/>
        <w:numPr>
          <w:ilvl w:val="0"/>
          <w:numId w:val="3"/>
        </w:numPr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Naphthoquinone : Atovaquone </w:t>
      </w:r>
    </w:p>
    <w:p w:rsidR="000B13E5" w:rsidRDefault="006650FA" w:rsidP="00676189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>1)</w:t>
      </w:r>
      <w:r w:rsidRPr="00676189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Mechanism</w:t>
      </w:r>
      <w:r w:rsidR="00676189" w:rsidRPr="00676189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of action</w:t>
      </w:r>
      <w:r w:rsidR="000D375B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of </w:t>
      </w:r>
      <w:r w:rsidR="000B13E5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4-aminoquinolines </w:t>
      </w:r>
    </w:p>
    <w:p w:rsidR="000D375B" w:rsidRDefault="000D375B" w:rsidP="00676189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>chloroquine</w:t>
      </w:r>
    </w:p>
    <w:p w:rsidR="000D375B" w:rsidRDefault="000D375B" w:rsidP="000D375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 w:rsidRPr="000D375B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It is actively concentrated by </w:t>
      </w:r>
      <w:r w:rsidR="00966DEC" w:rsidRPr="000D375B">
        <w:rPr>
          <w:rFonts w:ascii="Segoe UI" w:eastAsia="Times New Roman" w:hAnsi="Segoe UI" w:cs="Segoe UI"/>
          <w:b/>
          <w:color w:val="000000"/>
          <w:sz w:val="20"/>
          <w:szCs w:val="20"/>
        </w:rPr>
        <w:t>sensitive intra</w:t>
      </w:r>
      <w:r w:rsidRPr="000D375B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erythrocytic plasmodia by accumulating in the acidic vesicles of the parasite and weakly basic nature it raises the vesicular pH there by interferes with degradation of haemoglobin by parasitic </w:t>
      </w:r>
      <w:r w:rsidR="000B13E5" w:rsidRPr="000D375B">
        <w:rPr>
          <w:rFonts w:ascii="Segoe UI" w:eastAsia="Times New Roman" w:hAnsi="Segoe UI" w:cs="Segoe UI"/>
          <w:b/>
          <w:color w:val="000000"/>
          <w:sz w:val="20"/>
          <w:szCs w:val="20"/>
        </w:rPr>
        <w:t>lysosomes.</w:t>
      </w:r>
    </w:p>
    <w:p w:rsidR="00B61B44" w:rsidRDefault="000D375B" w:rsidP="000D375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>Polymerization of toxic haeme to nontoxic parasite pigment hemozoin is inhibited by formation of chloroquine-hem complex</w:t>
      </w:r>
      <w:r w:rsidR="00B61B44">
        <w:rPr>
          <w:rFonts w:ascii="Segoe UI" w:eastAsia="Times New Roman" w:hAnsi="Segoe UI" w:cs="Segoe UI"/>
          <w:b/>
          <w:color w:val="000000"/>
          <w:sz w:val="20"/>
          <w:szCs w:val="20"/>
        </w:rPr>
        <w:t>.</w:t>
      </w:r>
    </w:p>
    <w:p w:rsidR="00B61B44" w:rsidRDefault="00B61B44" w:rsidP="000D375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>Haeme itself or its complex with chloroqine then damages the plasmodial membaranes. Clumping of pigment and changes in parasite membranes follow: death.</w:t>
      </w:r>
    </w:p>
    <w:p w:rsidR="00B61B44" w:rsidRDefault="00B61B44" w:rsidP="000D375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Others related anti-malarials like amodiaquine quinine, mefloquine, lumefantrine act in </w:t>
      </w:r>
      <w:proofErr w:type="gramStart"/>
      <w:r>
        <w:rPr>
          <w:rFonts w:ascii="Segoe UI" w:eastAsia="Times New Roman" w:hAnsi="Segoe UI" w:cs="Segoe UI"/>
          <w:b/>
          <w:color w:val="000000"/>
          <w:sz w:val="20"/>
          <w:szCs w:val="20"/>
        </w:rPr>
        <w:t>a</w:t>
      </w:r>
      <w:proofErr w:type="gramEnd"/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analogous manner.</w:t>
      </w:r>
    </w:p>
    <w:p w:rsidR="006650FA" w:rsidRDefault="006650FA" w:rsidP="00B61B44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>2) Mechanism</w:t>
      </w:r>
      <w:r w:rsidR="007D3542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action</w:t>
      </w:r>
      <w:r w:rsidR="00B61B44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of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quinoline</w:t>
      </w:r>
    </w:p>
    <w:p w:rsidR="00676189" w:rsidRDefault="00B61B44" w:rsidP="00B61B44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Mefloquine</w:t>
      </w:r>
      <w:r w:rsidR="000D375B" w:rsidRPr="00B61B44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</w:t>
      </w:r>
    </w:p>
    <w:p w:rsidR="00B61B44" w:rsidRDefault="00B61B44" w:rsidP="00B61B4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>Active against chloroquines sensitive as well resistant P.vivax and falciparum</w:t>
      </w:r>
    </w:p>
    <w:p w:rsidR="00B61B44" w:rsidRDefault="00B61B44" w:rsidP="00B61B4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Single dose: 15mg/kg controls fever and eliminates circulating </w:t>
      </w:r>
      <w:r w:rsidR="007D3542">
        <w:rPr>
          <w:rFonts w:ascii="Segoe UI" w:eastAsia="Times New Roman" w:hAnsi="Segoe UI" w:cs="Segoe UI"/>
          <w:b/>
          <w:color w:val="000000"/>
          <w:sz w:val="20"/>
          <w:szCs w:val="20"/>
        </w:rPr>
        <w:t>paraddites (both P. vivax and Pf )</w:t>
      </w:r>
    </w:p>
    <w:p w:rsidR="007D3542" w:rsidRDefault="007D3542" w:rsidP="00B61B4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>Not used parentally</w:t>
      </w:r>
    </w:p>
    <w:p w:rsidR="007D3542" w:rsidRDefault="007D3542" w:rsidP="00B61B4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Excreted in bile and urine </w:t>
      </w:r>
    </w:p>
    <w:p w:rsidR="006650FA" w:rsidRPr="006650FA" w:rsidRDefault="006650FA" w:rsidP="006650F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>3)</w:t>
      </w:r>
      <w:r w:rsidRPr="006650F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Mechanism</w:t>
      </w:r>
      <w:r w:rsidR="007D3542" w:rsidRPr="006650F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of action </w:t>
      </w:r>
      <w:r w:rsidRPr="006650FA">
        <w:rPr>
          <w:rFonts w:ascii="Segoe UI" w:eastAsia="Times New Roman" w:hAnsi="Segoe UI" w:cs="Segoe UI"/>
          <w:b/>
          <w:color w:val="000000"/>
          <w:sz w:val="20"/>
          <w:szCs w:val="20"/>
        </w:rPr>
        <w:t>of cinochona alkaloid</w:t>
      </w:r>
    </w:p>
    <w:p w:rsidR="007D3542" w:rsidRDefault="007D3542" w:rsidP="007D354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>Quinine</w:t>
      </w:r>
    </w:p>
    <w:p w:rsidR="007D3542" w:rsidRDefault="007D3542" w:rsidP="007D354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lastRenderedPageBreak/>
        <w:t xml:space="preserve">It is a weak base: gets concentrated in the acidic food vacuoles of sensitive plasmodia </w:t>
      </w:r>
    </w:p>
    <w:p w:rsidR="007D3542" w:rsidRDefault="007D3542" w:rsidP="007D354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>inhibits polymerization of haeme to hemozoin</w:t>
      </w:r>
    </w:p>
    <w:p w:rsidR="007D3542" w:rsidRDefault="007D3542" w:rsidP="007D354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>free haeme increases (toxic) or haeme –quinine complex damages parasite memebrane and kills it.</w:t>
      </w:r>
    </w:p>
    <w:p w:rsidR="007D3542" w:rsidRDefault="007D3542" w:rsidP="007D354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>After oral administration, quinine is rapidly absorbed, reaches peak plasma levels in 1-3 hours, and is widely distributed in body tissues.</w:t>
      </w:r>
    </w:p>
    <w:p w:rsidR="007D3542" w:rsidRDefault="007D3542" w:rsidP="007D354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>The use of a loading dose in severe malaria allows the  achievement of peak levels within a few hours.</w:t>
      </w:r>
    </w:p>
    <w:p w:rsidR="006650FA" w:rsidRDefault="006650FA" w:rsidP="008546C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4) </w:t>
      </w:r>
      <w:r w:rsidR="007D3542">
        <w:rPr>
          <w:rFonts w:ascii="Segoe UI" w:eastAsia="Times New Roman" w:hAnsi="Segoe UI" w:cs="Segoe UI"/>
          <w:b/>
          <w:color w:val="000000"/>
          <w:sz w:val="20"/>
          <w:szCs w:val="20"/>
        </w:rPr>
        <w:t>Mechanism of action of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Biguanide</w:t>
      </w:r>
    </w:p>
    <w:p w:rsidR="007D3542" w:rsidRDefault="007D3542" w:rsidP="008546C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</w:t>
      </w:r>
      <w:r w:rsidR="008546C4">
        <w:rPr>
          <w:rFonts w:ascii="Segoe UI" w:eastAsia="Times New Roman" w:hAnsi="Segoe UI" w:cs="Segoe UI"/>
          <w:b/>
          <w:color w:val="000000"/>
          <w:sz w:val="20"/>
          <w:szCs w:val="20"/>
        </w:rPr>
        <w:t>Proguani (chloroguanide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>)</w:t>
      </w:r>
    </w:p>
    <w:p w:rsidR="007D3542" w:rsidRPr="008546C4" w:rsidRDefault="007D3542" w:rsidP="008546C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 w:rsidRPr="008546C4">
        <w:rPr>
          <w:rFonts w:ascii="Segoe UI" w:eastAsia="Times New Roman" w:hAnsi="Segoe UI" w:cs="Segoe UI"/>
          <w:b/>
          <w:color w:val="000000"/>
          <w:sz w:val="20"/>
          <w:szCs w:val="20"/>
        </w:rPr>
        <w:t>It is cyclized in the body to cy</w:t>
      </w:r>
      <w:r w:rsidR="005726F8" w:rsidRPr="008546C4">
        <w:rPr>
          <w:rFonts w:ascii="Segoe UI" w:eastAsia="Times New Roman" w:hAnsi="Segoe UI" w:cs="Segoe UI"/>
          <w:b/>
          <w:color w:val="000000"/>
          <w:sz w:val="20"/>
          <w:szCs w:val="20"/>
        </w:rPr>
        <w:t>cloguanil which inhibits plasmodial DHFRase in preference to the mammalian enzyme.</w:t>
      </w:r>
    </w:p>
    <w:p w:rsidR="006650FA" w:rsidRDefault="002C13FF" w:rsidP="006650F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>Resistance:</w:t>
      </w:r>
      <w:r w:rsidR="005726F8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due </w:t>
      </w:r>
      <w:r w:rsidR="000B13E5">
        <w:rPr>
          <w:rFonts w:ascii="Segoe UI" w:eastAsia="Times New Roman" w:hAnsi="Segoe UI" w:cs="Segoe UI"/>
          <w:b/>
          <w:color w:val="000000"/>
          <w:sz w:val="20"/>
          <w:szCs w:val="20"/>
        </w:rPr>
        <w:t>to mutational</w:t>
      </w:r>
      <w:r w:rsidR="005726F8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changes in the plasmodial DHFRase enzyme.</w:t>
      </w:r>
    </w:p>
    <w:p w:rsidR="006650FA" w:rsidRDefault="002C13FF" w:rsidP="008546C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>5) Mechanism</w:t>
      </w:r>
      <w:r w:rsidR="006650F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of action of Diaminopyrimidine</w:t>
      </w:r>
    </w:p>
    <w:p w:rsidR="006650FA" w:rsidRDefault="006650FA" w:rsidP="006650FA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>Pyrimethamine</w:t>
      </w:r>
    </w:p>
    <w:p w:rsidR="006650FA" w:rsidRDefault="002C13FF" w:rsidP="006650F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In contrast to trimethoprim it has very poor action on bacterial DHFRase </w:t>
      </w:r>
    </w:p>
    <w:p w:rsidR="00D3317E" w:rsidRDefault="002C13FF" w:rsidP="00D3317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Pyrimethamine is a slowly </w:t>
      </w:r>
      <w:r w:rsidR="007921BD">
        <w:rPr>
          <w:rFonts w:ascii="Segoe UI" w:eastAsia="Times New Roman" w:hAnsi="Segoe UI" w:cs="Segoe UI"/>
          <w:b/>
          <w:color w:val="000000"/>
          <w:sz w:val="20"/>
          <w:szCs w:val="20"/>
        </w:rPr>
        <w:t>acting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erythrocytic schizontocide, but does not eliminate the pre-erythrocytic phase of P.Falciparum</w:t>
      </w:r>
    </w:p>
    <w:p w:rsidR="002C13FF" w:rsidRDefault="002C13FF" w:rsidP="00D3317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 w:rsidRPr="00D3317E">
        <w:rPr>
          <w:rFonts w:ascii="Segoe UI" w:eastAsia="Times New Roman" w:hAnsi="Segoe UI" w:cs="Segoe UI"/>
          <w:b/>
          <w:color w:val="000000"/>
          <w:sz w:val="20"/>
          <w:szCs w:val="20"/>
        </w:rPr>
        <w:t>If use alone, resistance develops rather rapidly by Mutation in the</w:t>
      </w:r>
      <w:r w:rsidR="00D3317E" w:rsidRPr="00D3317E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DHFRase enzyme of the parasite.</w:t>
      </w:r>
    </w:p>
    <w:p w:rsidR="00D3317E" w:rsidRDefault="00D3317E" w:rsidP="00D3317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Used only in combination with a sulfonamide (s/p) or dapsone </w:t>
      </w:r>
    </w:p>
    <w:p w:rsidR="00D3317E" w:rsidRDefault="00D3317E" w:rsidP="00D3317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Addition of </w:t>
      </w:r>
      <w:r w:rsidR="007921BD">
        <w:rPr>
          <w:rFonts w:ascii="Segoe UI" w:eastAsia="Times New Roman" w:hAnsi="Segoe UI" w:cs="Segoe UI"/>
          <w:b/>
          <w:color w:val="000000"/>
          <w:sz w:val="20"/>
          <w:szCs w:val="20"/>
        </w:rPr>
        <w:t>sulfonamide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retards the development of </w:t>
      </w:r>
      <w:r w:rsidR="007921BD">
        <w:rPr>
          <w:rFonts w:ascii="Segoe UI" w:eastAsia="Times New Roman" w:hAnsi="Segoe UI" w:cs="Segoe UI"/>
          <w:b/>
          <w:color w:val="000000"/>
          <w:sz w:val="20"/>
          <w:szCs w:val="20"/>
        </w:rPr>
        <w:t>resistance.</w:t>
      </w:r>
    </w:p>
    <w:p w:rsidR="00D3317E" w:rsidRDefault="00D3317E" w:rsidP="008546C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>6) Mechanism of action of 8-Aminoquinolines</w:t>
      </w:r>
    </w:p>
    <w:p w:rsidR="007921BD" w:rsidRDefault="007921BD" w:rsidP="00D3317E">
      <w:pPr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>Primaquine</w:t>
      </w:r>
    </w:p>
    <w:p w:rsidR="007921BD" w:rsidRPr="002757D1" w:rsidRDefault="000561C1" w:rsidP="007921B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 w:rsidRPr="000561C1">
        <w:rPr>
          <w:rFonts w:ascii="Arial" w:hAnsi="Arial" w:cs="Arial"/>
          <w:b/>
          <w:sz w:val="20"/>
          <w:szCs w:val="20"/>
        </w:rPr>
        <w:t>primaquine bind to and alter the properties of protozoal DNA</w:t>
      </w:r>
    </w:p>
    <w:p w:rsidR="002757D1" w:rsidRPr="002757D1" w:rsidRDefault="002757D1" w:rsidP="007921B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 w:rsidRPr="002757D1">
        <w:rPr>
          <w:b/>
          <w:color w:val="000000"/>
        </w:rPr>
        <w:t xml:space="preserve">Primaquine is lethal to </w:t>
      </w:r>
      <w:r w:rsidRPr="002757D1">
        <w:rPr>
          <w:b/>
          <w:i/>
          <w:iCs/>
          <w:color w:val="000000"/>
        </w:rPr>
        <w:t>P. vivax</w:t>
      </w:r>
      <w:r w:rsidRPr="002757D1">
        <w:rPr>
          <w:b/>
          <w:color w:val="000000"/>
        </w:rPr>
        <w:t xml:space="preserve"> and </w:t>
      </w:r>
      <w:r w:rsidRPr="002757D1">
        <w:rPr>
          <w:b/>
          <w:i/>
          <w:iCs/>
          <w:color w:val="000000"/>
        </w:rPr>
        <w:t>P. ovale</w:t>
      </w:r>
      <w:r w:rsidRPr="002757D1">
        <w:rPr>
          <w:b/>
          <w:color w:val="000000"/>
        </w:rPr>
        <w:t xml:space="preserve"> in the liver stage, and also to </w:t>
      </w:r>
      <w:r w:rsidRPr="002757D1">
        <w:rPr>
          <w:b/>
          <w:i/>
          <w:iCs/>
          <w:color w:val="000000"/>
        </w:rPr>
        <w:t>P. vivax</w:t>
      </w:r>
      <w:r w:rsidRPr="002757D1">
        <w:rPr>
          <w:b/>
          <w:color w:val="000000"/>
        </w:rPr>
        <w:t xml:space="preserve"> in the blood stage through its ability to do oxidative damage to the cell. However, the exact mechanism of action is not fully understood</w:t>
      </w:r>
    </w:p>
    <w:p w:rsidR="002757D1" w:rsidRDefault="002757D1" w:rsidP="008546C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</w:rPr>
        <w:t>7</w:t>
      </w:r>
      <w:r w:rsidRPr="002757D1">
        <w:rPr>
          <w:rFonts w:ascii="Segoe UI" w:eastAsia="Times New Roman" w:hAnsi="Segoe UI" w:cs="Segoe UI"/>
          <w:b/>
          <w:color w:val="000000"/>
          <w:sz w:val="20"/>
          <w:szCs w:val="20"/>
        </w:rPr>
        <w:t>) Mechanism of action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of sulfonamides and sulfone</w:t>
      </w:r>
    </w:p>
    <w:p w:rsidR="005D5C34" w:rsidRPr="00FB5E42" w:rsidRDefault="002757D1" w:rsidP="002757D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 w:rsidRPr="00FB5E42">
        <w:rPr>
          <w:b/>
          <w:color w:val="000000"/>
        </w:rPr>
        <w:t xml:space="preserve">As an </w:t>
      </w:r>
      <w:hyperlink r:id="rId5" w:tooltip="Antibacterial" w:history="1">
        <w:r w:rsidRPr="00FB5E42">
          <w:rPr>
            <w:rStyle w:val="Hyperlink"/>
            <w:color w:val="000000"/>
          </w:rPr>
          <w:t>antibacterial</w:t>
        </w:r>
      </w:hyperlink>
      <w:r w:rsidRPr="00FB5E42">
        <w:rPr>
          <w:b/>
          <w:color w:val="000000"/>
        </w:rPr>
        <w:t>, dapsone inhibits</w:t>
      </w:r>
      <w:r w:rsidRPr="00FB5E42">
        <w:rPr>
          <w:color w:val="000000"/>
        </w:rPr>
        <w:t xml:space="preserve"> </w:t>
      </w:r>
      <w:hyperlink r:id="rId6" w:tooltip="Bacteria" w:history="1">
        <w:r w:rsidRPr="00FB5E42">
          <w:rPr>
            <w:rStyle w:val="Hyperlink"/>
            <w:color w:val="000000"/>
          </w:rPr>
          <w:t>bacterial</w:t>
        </w:r>
      </w:hyperlink>
      <w:r w:rsidRPr="00FB5E42">
        <w:rPr>
          <w:b/>
          <w:color w:val="000000"/>
        </w:rPr>
        <w:t xml:space="preserve"> synthesis of </w:t>
      </w:r>
      <w:hyperlink r:id="rId7" w:tooltip="Dihydrofolic acid" w:history="1">
        <w:r w:rsidRPr="00FB5E42">
          <w:rPr>
            <w:rStyle w:val="Hyperlink"/>
            <w:color w:val="000000"/>
          </w:rPr>
          <w:t>dihydrofolic acid</w:t>
        </w:r>
      </w:hyperlink>
      <w:r w:rsidRPr="00FB5E42">
        <w:rPr>
          <w:b/>
          <w:color w:val="000000"/>
        </w:rPr>
        <w:t>, via competition with</w:t>
      </w:r>
      <w:r w:rsidRPr="00FB5E42">
        <w:rPr>
          <w:color w:val="000000"/>
        </w:rPr>
        <w:t xml:space="preserve"> </w:t>
      </w:r>
      <w:hyperlink r:id="rId8" w:tooltip="4-Aminobenzoic acid" w:history="1">
        <w:r w:rsidRPr="00FB5E42">
          <w:rPr>
            <w:rStyle w:val="Hyperlink"/>
            <w:color w:val="000000"/>
          </w:rPr>
          <w:t>para-aminobenzoate</w:t>
        </w:r>
      </w:hyperlink>
      <w:r w:rsidRPr="00FB5E42">
        <w:rPr>
          <w:b/>
          <w:color w:val="000000"/>
        </w:rPr>
        <w:t xml:space="preserve"> for the active site of </w:t>
      </w:r>
      <w:hyperlink r:id="rId9" w:tooltip="Dihydropteroate synthase" w:history="1">
        <w:r w:rsidRPr="00FB5E42">
          <w:rPr>
            <w:rStyle w:val="Hyperlink"/>
            <w:color w:val="000000"/>
          </w:rPr>
          <w:t>dihydropteroate synthase</w:t>
        </w:r>
      </w:hyperlink>
      <w:r w:rsidRPr="00FB5E42">
        <w:rPr>
          <w:b/>
          <w:color w:val="000000"/>
        </w:rPr>
        <w:t>, thereby inhibiting nucleic acid synthesis.</w:t>
      </w:r>
    </w:p>
    <w:p w:rsidR="002757D1" w:rsidRPr="00FB5E42" w:rsidRDefault="002757D1" w:rsidP="002757D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B5E42">
        <w:rPr>
          <w:rFonts w:ascii="Segoe UI" w:eastAsia="Times New Roman" w:hAnsi="Segoe UI" w:cs="Segoe UI"/>
          <w:b/>
          <w:color w:val="000000"/>
        </w:rPr>
        <w:t xml:space="preserve"> </w:t>
      </w:r>
      <w:r w:rsidR="005D5C34" w:rsidRPr="00FB5E42">
        <w:rPr>
          <w:b/>
        </w:rPr>
        <w:t xml:space="preserve">As an </w:t>
      </w:r>
      <w:hyperlink r:id="rId10" w:tooltip="Anti-inflammatory" w:history="1">
        <w:r w:rsidR="005D5C34" w:rsidRPr="00FB5E42">
          <w:rPr>
            <w:rStyle w:val="Hyperlink"/>
            <w:color w:val="000000"/>
          </w:rPr>
          <w:t>anti-inflammatory</w:t>
        </w:r>
      </w:hyperlink>
      <w:r w:rsidR="005D5C34" w:rsidRPr="00FB5E42">
        <w:rPr>
          <w:b/>
          <w:color w:val="000000"/>
        </w:rPr>
        <w:t xml:space="preserve">, </w:t>
      </w:r>
      <w:r w:rsidR="005D5C34" w:rsidRPr="00FB5E42">
        <w:rPr>
          <w:b/>
        </w:rPr>
        <w:t>dapsone inhibits the myeloperoxidase-H</w:t>
      </w:r>
      <w:r w:rsidR="005D5C34" w:rsidRPr="00FB5E42">
        <w:rPr>
          <w:b/>
          <w:vertAlign w:val="subscript"/>
        </w:rPr>
        <w:t>2</w:t>
      </w:r>
      <w:r w:rsidR="005D5C34" w:rsidRPr="00FB5E42">
        <w:rPr>
          <w:b/>
        </w:rPr>
        <w:t>O</w:t>
      </w:r>
      <w:r w:rsidR="005D5C34" w:rsidRPr="00FB5E42">
        <w:rPr>
          <w:b/>
          <w:vertAlign w:val="subscript"/>
        </w:rPr>
        <w:t>2</w:t>
      </w:r>
      <w:r w:rsidR="005D5C34" w:rsidRPr="00FB5E42">
        <w:rPr>
          <w:b/>
        </w:rPr>
        <w:t>-halide-mediated cytotoxic system in polymorphonucleocytes</w:t>
      </w:r>
      <w:r w:rsidR="005D5C34" w:rsidRPr="00FB5E42">
        <w:t>.</w:t>
      </w:r>
    </w:p>
    <w:p w:rsidR="00FB5E42" w:rsidRPr="00FB5E42" w:rsidRDefault="00FB5E42" w:rsidP="002757D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FB5E42">
        <w:rPr>
          <w:b/>
          <w:color w:val="000000"/>
        </w:rPr>
        <w:lastRenderedPageBreak/>
        <w:t xml:space="preserve">As part of the </w:t>
      </w:r>
      <w:hyperlink r:id="rId11" w:tooltip="Respiratory burst" w:history="1">
        <w:r w:rsidRPr="00FB5E42">
          <w:rPr>
            <w:rStyle w:val="Hyperlink"/>
            <w:color w:val="000000"/>
          </w:rPr>
          <w:t>respiratory burst</w:t>
        </w:r>
      </w:hyperlink>
      <w:r w:rsidRPr="00FB5E42">
        <w:rPr>
          <w:b/>
          <w:color w:val="000000"/>
        </w:rPr>
        <w:t xml:space="preserve"> that</w:t>
      </w:r>
      <w:r w:rsidRPr="00FB5E42">
        <w:rPr>
          <w:color w:val="000000"/>
        </w:rPr>
        <w:t xml:space="preserve"> </w:t>
      </w:r>
      <w:hyperlink r:id="rId12" w:tooltip="Neutrophil" w:history="1">
        <w:r w:rsidRPr="00FB5E42">
          <w:rPr>
            <w:rStyle w:val="Hyperlink"/>
            <w:color w:val="000000"/>
          </w:rPr>
          <w:t>neutrophils</w:t>
        </w:r>
      </w:hyperlink>
      <w:r>
        <w:t xml:space="preserve"> </w:t>
      </w:r>
      <w:r w:rsidRPr="00FB5E42">
        <w:rPr>
          <w:b/>
        </w:rPr>
        <w:t>use to kill bacteria</w:t>
      </w:r>
      <w:r>
        <w:t xml:space="preserve">, </w:t>
      </w:r>
      <w:r w:rsidRPr="00FB5E42">
        <w:rPr>
          <w:b/>
        </w:rPr>
        <w:t>myeloperoxidase converts hydrogen peroxide (</w:t>
      </w:r>
      <w:r w:rsidRPr="00FB5E42">
        <w:rPr>
          <w:rStyle w:val="chemf"/>
          <w:b/>
        </w:rPr>
        <w:t>H</w:t>
      </w:r>
      <w:r w:rsidRPr="00FB5E42">
        <w:rPr>
          <w:rStyle w:val="chemf"/>
          <w:b/>
          <w:sz w:val="15"/>
          <w:szCs w:val="15"/>
          <w:vertAlign w:val="subscript"/>
        </w:rPr>
        <w:t>2</w:t>
      </w:r>
      <w:r w:rsidRPr="00FB5E42">
        <w:rPr>
          <w:rStyle w:val="chemf"/>
          <w:b/>
        </w:rPr>
        <w:t>O</w:t>
      </w:r>
      <w:r w:rsidRPr="00FB5E42">
        <w:rPr>
          <w:rStyle w:val="chemf"/>
          <w:b/>
          <w:sz w:val="15"/>
          <w:szCs w:val="15"/>
          <w:vertAlign w:val="subscript"/>
        </w:rPr>
        <w:t>2</w:t>
      </w:r>
      <w:r w:rsidRPr="00FB5E42">
        <w:rPr>
          <w:b/>
        </w:rPr>
        <w:t>) into</w:t>
      </w:r>
      <w:r>
        <w:t xml:space="preserve"> </w:t>
      </w:r>
      <w:hyperlink r:id="rId13" w:tooltip="Hypochlorous acid" w:history="1">
        <w:r w:rsidRPr="00FB5E42">
          <w:rPr>
            <w:rStyle w:val="Hyperlink"/>
            <w:color w:val="000000"/>
          </w:rPr>
          <w:t>hypochlorous acid</w:t>
        </w:r>
      </w:hyperlink>
      <w:r w:rsidRPr="00FB5E42">
        <w:rPr>
          <w:color w:val="000000"/>
        </w:rPr>
        <w:t xml:space="preserve"> </w:t>
      </w:r>
      <w:r w:rsidRPr="00FB5E42">
        <w:rPr>
          <w:b/>
        </w:rPr>
        <w:t>(HOCl).</w:t>
      </w:r>
    </w:p>
    <w:p w:rsidR="00FB5E42" w:rsidRPr="00FB5E42" w:rsidRDefault="00FB5E42" w:rsidP="002757D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 w:rsidRPr="00FB5E42">
        <w:rPr>
          <w:b/>
        </w:rPr>
        <w:t>HOCl is the most potent oxidant generated by neutrophils, and can cause significant tissue damage during inflammation</w:t>
      </w:r>
    </w:p>
    <w:p w:rsidR="00FB5E42" w:rsidRDefault="00FB5E42" w:rsidP="008546C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8) Mechanism of action for antibiotics</w:t>
      </w:r>
    </w:p>
    <w:p w:rsidR="00FB5E42" w:rsidRDefault="00FB5E42" w:rsidP="00FB5E42">
      <w:pPr>
        <w:spacing w:before="100" w:beforeAutospacing="1" w:after="100" w:afterAutospacing="1" w:line="240" w:lineRule="auto"/>
        <w:ind w:left="1800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Tetracycline</w:t>
      </w:r>
    </w:p>
    <w:p w:rsidR="00FB5E42" w:rsidRPr="006E4D32" w:rsidRDefault="006E4D32" w:rsidP="00FB5E4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 w:rsidRPr="006E4D32">
        <w:rPr>
          <w:b/>
        </w:rPr>
        <w:t>They inhibit the initiation of translation in variety of ways by binding to the</w:t>
      </w:r>
      <w:r>
        <w:t xml:space="preserve"> </w:t>
      </w:r>
      <w:hyperlink r:id="rId14" w:tooltip="30S ribosomal subunit" w:history="1">
        <w:r w:rsidRPr="006E4D32">
          <w:rPr>
            <w:rStyle w:val="Hyperlink"/>
            <w:color w:val="000000"/>
          </w:rPr>
          <w:t>30S ribosomal subunit</w:t>
        </w:r>
      </w:hyperlink>
      <w:r>
        <w:t xml:space="preserve">, </w:t>
      </w:r>
      <w:r w:rsidRPr="006E4D32">
        <w:rPr>
          <w:b/>
        </w:rPr>
        <w:t>which is made up of 16S rRNA and 21 proteins</w:t>
      </w:r>
      <w:r>
        <w:rPr>
          <w:b/>
        </w:rPr>
        <w:t>.</w:t>
      </w:r>
    </w:p>
    <w:p w:rsidR="006E4D32" w:rsidRPr="006E4D32" w:rsidRDefault="006E4D32" w:rsidP="00FB5E4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 w:rsidRPr="006E4D32">
        <w:rPr>
          <w:b/>
        </w:rPr>
        <w:t>They inhibit the binding of</w:t>
      </w:r>
      <w:r>
        <w:t xml:space="preserve"> </w:t>
      </w:r>
      <w:hyperlink r:id="rId15" w:tooltip="Aminoacyl-tRNA" w:history="1">
        <w:r w:rsidRPr="006E4D32">
          <w:rPr>
            <w:rStyle w:val="Hyperlink"/>
            <w:color w:val="000000"/>
          </w:rPr>
          <w:t>aminoacyl-tRNA</w:t>
        </w:r>
      </w:hyperlink>
      <w:r>
        <w:t xml:space="preserve"> </w:t>
      </w:r>
      <w:r w:rsidRPr="006E4D32">
        <w:rPr>
          <w:b/>
        </w:rPr>
        <w:t>to the</w:t>
      </w:r>
      <w:r>
        <w:t xml:space="preserve"> </w:t>
      </w:r>
      <w:hyperlink r:id="rId16" w:tooltip="MRNA translation" w:history="1">
        <w:r w:rsidRPr="006E4D32">
          <w:rPr>
            <w:rStyle w:val="Hyperlink"/>
            <w:color w:val="000000"/>
          </w:rPr>
          <w:t>mRNA translation</w:t>
        </w:r>
      </w:hyperlink>
      <w:r>
        <w:t xml:space="preserve"> </w:t>
      </w:r>
      <w:r w:rsidRPr="006E4D32">
        <w:rPr>
          <w:b/>
        </w:rPr>
        <w:t>complex</w:t>
      </w:r>
      <w:r>
        <w:t>.</w:t>
      </w:r>
    </w:p>
    <w:p w:rsidR="006E4D32" w:rsidRPr="006E4D32" w:rsidRDefault="006E4D32" w:rsidP="00FB5E4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>
        <w:rPr>
          <w:b/>
        </w:rPr>
        <w:t xml:space="preserve">It </w:t>
      </w:r>
      <w:r w:rsidRPr="006E4D32">
        <w:rPr>
          <w:b/>
        </w:rPr>
        <w:t>inhibits</w:t>
      </w:r>
      <w:r>
        <w:t xml:space="preserve"> </w:t>
      </w:r>
      <w:hyperlink r:id="rId17" w:tooltip="Matrix metalloproteinases" w:history="1">
        <w:r w:rsidRPr="006E4D32">
          <w:rPr>
            <w:rStyle w:val="Hyperlink"/>
            <w:color w:val="000000"/>
          </w:rPr>
          <w:t>matrix metalloproteinases</w:t>
        </w:r>
        <w:r>
          <w:rPr>
            <w:rStyle w:val="Hyperlink"/>
            <w:color w:val="000000"/>
          </w:rPr>
          <w:t>.</w:t>
        </w:r>
      </w:hyperlink>
    </w:p>
    <w:p w:rsidR="006E4D32" w:rsidRPr="006E4D32" w:rsidRDefault="006E4D32" w:rsidP="00FB5E4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 w:rsidRPr="006E4D32">
        <w:rPr>
          <w:b/>
        </w:rPr>
        <w:t>Tetracyclines are not only active against broad spectrum of bacteria, but also against viruses, protozoa that lack mitochondria and some noninfectious conditions</w:t>
      </w:r>
      <w:r>
        <w:t>.</w:t>
      </w:r>
    </w:p>
    <w:p w:rsidR="006E4D32" w:rsidRPr="006E4D32" w:rsidRDefault="006E4D32" w:rsidP="00FB5E4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 w:rsidRPr="006E4D32">
        <w:rPr>
          <w:b/>
        </w:rPr>
        <w:t>The binding of tetracyclines to cellular dsRNA (double stranded RNA) may be an explanation for their wide range of effect</w:t>
      </w:r>
      <w:r>
        <w:t>.</w:t>
      </w:r>
    </w:p>
    <w:p w:rsidR="006E4D32" w:rsidRPr="006E4D32" w:rsidRDefault="006E4D32" w:rsidP="00FB5E4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 w:rsidRPr="006E4D32">
        <w:rPr>
          <w:b/>
        </w:rPr>
        <w:t>It can also be attributed to the nature of ribosomal protein synthesis pathways among bacteria</w:t>
      </w:r>
      <w:r>
        <w:rPr>
          <w:b/>
        </w:rPr>
        <w:t>.</w:t>
      </w:r>
    </w:p>
    <w:p w:rsidR="006E4D32" w:rsidRDefault="006E4D32" w:rsidP="008546C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 xml:space="preserve">9) </w:t>
      </w:r>
      <w:r w:rsidR="006F6CE2">
        <w:rPr>
          <w:rFonts w:ascii="Segoe UI" w:eastAsia="Times New Roman" w:hAnsi="Segoe UI" w:cs="Segoe UI"/>
          <w:b/>
          <w:color w:val="000000"/>
        </w:rPr>
        <w:t>Mechanism</w:t>
      </w:r>
      <w:r>
        <w:rPr>
          <w:rFonts w:ascii="Segoe UI" w:eastAsia="Times New Roman" w:hAnsi="Segoe UI" w:cs="Segoe UI"/>
          <w:b/>
          <w:color w:val="000000"/>
        </w:rPr>
        <w:t xml:space="preserve"> of action for </w:t>
      </w:r>
      <w:r w:rsidR="006F6CE2">
        <w:rPr>
          <w:rFonts w:ascii="Segoe UI" w:eastAsia="Times New Roman" w:hAnsi="Segoe UI" w:cs="Segoe UI"/>
          <w:b/>
          <w:color w:val="000000"/>
        </w:rPr>
        <w:t>Sesquiterpine lactose</w:t>
      </w:r>
    </w:p>
    <w:p w:rsidR="006F6CE2" w:rsidRDefault="006F6CE2" w:rsidP="008546C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proofErr w:type="spellStart"/>
      <w:r>
        <w:rPr>
          <w:rFonts w:ascii="Segoe UI" w:eastAsia="Times New Roman" w:hAnsi="Segoe UI" w:cs="Segoe UI"/>
          <w:b/>
          <w:color w:val="000000"/>
        </w:rPr>
        <w:t>Artesunate</w:t>
      </w:r>
      <w:proofErr w:type="spellEnd"/>
    </w:p>
    <w:p w:rsidR="006F6CE2" w:rsidRPr="008546C4" w:rsidRDefault="006270A2" w:rsidP="008546C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 w:rsidRPr="008546C4">
        <w:rPr>
          <w:b/>
        </w:rPr>
        <w:t xml:space="preserve">It inhibits the essential </w:t>
      </w:r>
      <w:hyperlink r:id="rId18" w:tooltip="Plasmodium falciparum" w:history="1">
        <w:r w:rsidRPr="008546C4">
          <w:rPr>
            <w:rStyle w:val="Hyperlink"/>
            <w:i/>
            <w:iCs/>
            <w:color w:val="000000"/>
          </w:rPr>
          <w:t>Plasmodium falciparum</w:t>
        </w:r>
      </w:hyperlink>
      <w:r w:rsidRPr="008546C4">
        <w:rPr>
          <w:color w:val="000000"/>
        </w:rPr>
        <w:t xml:space="preserve"> </w:t>
      </w:r>
      <w:r w:rsidRPr="008546C4">
        <w:rPr>
          <w:b/>
        </w:rPr>
        <w:t>exported protein 1 (EXP1), a membrane</w:t>
      </w:r>
      <w:r>
        <w:t xml:space="preserve"> </w:t>
      </w:r>
      <w:hyperlink r:id="rId19" w:tooltip="MAPEG" w:history="1">
        <w:r w:rsidRPr="008546C4">
          <w:rPr>
            <w:rStyle w:val="Hyperlink"/>
            <w:color w:val="000000"/>
          </w:rPr>
          <w:t>glutathione S-transferase</w:t>
        </w:r>
      </w:hyperlink>
      <w:r w:rsidRPr="008546C4">
        <w:rPr>
          <w:color w:val="000000"/>
        </w:rPr>
        <w:t>.</w:t>
      </w:r>
    </w:p>
    <w:p w:rsidR="0019036C" w:rsidRPr="008546C4" w:rsidRDefault="006270A2" w:rsidP="008546C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 w:rsidRPr="008546C4">
        <w:rPr>
          <w:b/>
        </w:rPr>
        <w:t>It is hypothesized that the cleavage of endoperoxide bridge in the</w:t>
      </w:r>
      <w:r>
        <w:t xml:space="preserve"> </w:t>
      </w:r>
      <w:hyperlink r:id="rId20" w:tooltip="Pharmacophore" w:history="1">
        <w:r w:rsidRPr="008546C4">
          <w:rPr>
            <w:rStyle w:val="Hyperlink"/>
            <w:color w:val="000000"/>
          </w:rPr>
          <w:t>pharmacophore</w:t>
        </w:r>
      </w:hyperlink>
      <w:r w:rsidRPr="008546C4">
        <w:rPr>
          <w:b/>
        </w:rPr>
        <w:t xml:space="preserve"> of DHA generates</w:t>
      </w:r>
      <w:r>
        <w:t xml:space="preserve"> </w:t>
      </w:r>
      <w:hyperlink r:id="rId21" w:tooltip="Reactive oxygen species" w:history="1">
        <w:r w:rsidRPr="008546C4">
          <w:rPr>
            <w:rStyle w:val="Hyperlink"/>
            <w:color w:val="000000"/>
          </w:rPr>
          <w:t>reactive oxygen species</w:t>
        </w:r>
      </w:hyperlink>
      <w:r w:rsidRPr="008546C4">
        <w:rPr>
          <w:color w:val="000000"/>
        </w:rPr>
        <w:t xml:space="preserve"> </w:t>
      </w:r>
      <w:r w:rsidRPr="008546C4">
        <w:rPr>
          <w:b/>
        </w:rPr>
        <w:t>(ROS), which increases oxidative stress and causes malarial protein damage via</w:t>
      </w:r>
      <w:r>
        <w:t xml:space="preserve"> </w:t>
      </w:r>
      <w:hyperlink r:id="rId22" w:tooltip="Alkylation" w:history="1">
        <w:r w:rsidRPr="008546C4">
          <w:rPr>
            <w:rStyle w:val="Hyperlink"/>
            <w:color w:val="000000"/>
          </w:rPr>
          <w:t>alkylation</w:t>
        </w:r>
      </w:hyperlink>
      <w:r w:rsidRPr="008546C4">
        <w:rPr>
          <w:color w:val="000000"/>
        </w:rPr>
        <w:t>.</w:t>
      </w:r>
    </w:p>
    <w:p w:rsidR="0019036C" w:rsidRDefault="006270A2" w:rsidP="001903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 w:rsidRPr="0019036C">
        <w:rPr>
          <w:rFonts w:ascii="Segoe UI" w:eastAsia="Times New Roman" w:hAnsi="Segoe UI" w:cs="Segoe UI"/>
          <w:b/>
          <w:color w:val="000000"/>
        </w:rPr>
        <w:t>10) Mechanism of action for amino alcohols</w:t>
      </w:r>
    </w:p>
    <w:p w:rsidR="006270A2" w:rsidRPr="0019036C" w:rsidRDefault="00034CFF" w:rsidP="001903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 w:rsidRPr="0019036C">
        <w:rPr>
          <w:rFonts w:ascii="Segoe UI" w:eastAsia="Times New Roman" w:hAnsi="Segoe UI" w:cs="Segoe UI"/>
          <w:b/>
          <w:color w:val="000000"/>
        </w:rPr>
        <w:t xml:space="preserve">Lumefantrine </w:t>
      </w:r>
    </w:p>
    <w:p w:rsidR="00034CFF" w:rsidRPr="0019036C" w:rsidRDefault="0019036C" w:rsidP="0019036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 w:rsidRPr="0019036C">
        <w:rPr>
          <w:b/>
        </w:rPr>
        <w:t>The exact mechanism by which lumefantrine exerts its antimalarial effect is unknown. However, available data suggest that lumefantrine inhibits the formation of β-hematin by forming a complex with hemin and inhibits nucleic acid and protein synthesis</w:t>
      </w:r>
      <w:r>
        <w:t>.</w:t>
      </w:r>
    </w:p>
    <w:p w:rsidR="0019036C" w:rsidRDefault="0019036C" w:rsidP="008546C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 xml:space="preserve">11)mechanism of action for Napthyridine </w:t>
      </w:r>
    </w:p>
    <w:p w:rsidR="0019036C" w:rsidRDefault="0019036C" w:rsidP="0019036C">
      <w:pPr>
        <w:pStyle w:val="ListParagraph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Pyronaridine</w:t>
      </w:r>
    </w:p>
    <w:p w:rsidR="008546C4" w:rsidRPr="008546C4" w:rsidRDefault="00152F00" w:rsidP="008546C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>
        <w:rPr>
          <w:b/>
          <w:lang/>
        </w:rPr>
        <w:t xml:space="preserve">It </w:t>
      </w:r>
      <w:r w:rsidR="0019036C" w:rsidRPr="0019036C">
        <w:rPr>
          <w:b/>
          <w:lang/>
        </w:rPr>
        <w:t>interfere with the food vacuole of the parasite</w:t>
      </w:r>
    </w:p>
    <w:p w:rsidR="00152F00" w:rsidRPr="00152F00" w:rsidRDefault="00152F00" w:rsidP="0019036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 w:rsidRPr="00152F00">
        <w:rPr>
          <w:b/>
          <w:lang/>
        </w:rPr>
        <w:lastRenderedPageBreak/>
        <w:t xml:space="preserve">In erythrocytic </w:t>
      </w:r>
      <w:r w:rsidRPr="00152F00">
        <w:rPr>
          <w:rStyle w:val="Emphasis"/>
          <w:b/>
          <w:lang/>
        </w:rPr>
        <w:t>P. falciparum</w:t>
      </w:r>
      <w:r w:rsidRPr="00152F00">
        <w:rPr>
          <w:b/>
          <w:lang/>
        </w:rPr>
        <w:t xml:space="preserve"> and </w:t>
      </w:r>
      <w:r w:rsidRPr="00152F00">
        <w:rPr>
          <w:rStyle w:val="Emphasis"/>
          <w:b/>
          <w:lang/>
        </w:rPr>
        <w:t>P. berghei</w:t>
      </w:r>
      <w:r w:rsidRPr="00152F00">
        <w:rPr>
          <w:b/>
          <w:lang/>
        </w:rPr>
        <w:t xml:space="preserve"> cultured </w:t>
      </w:r>
      <w:r w:rsidRPr="00152F00">
        <w:rPr>
          <w:rStyle w:val="Emphasis"/>
          <w:b/>
          <w:lang/>
        </w:rPr>
        <w:t>in vitro</w:t>
      </w:r>
      <w:r w:rsidRPr="00152F00">
        <w:rPr>
          <w:b/>
          <w:lang/>
        </w:rPr>
        <w:t xml:space="preserve"> in human erythrocytes, pyronaridine induced modifications to the food vacuoles followed by the rapid formation of multilameliate whorls in the pellicular complexes of trophozoites</w:t>
      </w:r>
      <w:r>
        <w:rPr>
          <w:b/>
          <w:lang/>
        </w:rPr>
        <w:t>,</w:t>
      </w:r>
    </w:p>
    <w:p w:rsidR="00152F00" w:rsidRPr="00152F00" w:rsidRDefault="00152F00" w:rsidP="0019036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 w:rsidRPr="00152F00">
        <w:rPr>
          <w:b/>
          <w:lang/>
        </w:rPr>
        <w:t>pyronaridine targets haematin formation</w:t>
      </w:r>
    </w:p>
    <w:p w:rsidR="00152F00" w:rsidRPr="00152F00" w:rsidRDefault="00152F00" w:rsidP="0019036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 w:rsidRPr="00152F00">
        <w:rPr>
          <w:b/>
          <w:lang/>
        </w:rPr>
        <w:t>Pyronaridine inhibited β-haematin production with an IC</w:t>
      </w:r>
      <w:r w:rsidRPr="00152F00">
        <w:rPr>
          <w:b/>
          <w:vertAlign w:val="subscript"/>
          <w:lang/>
        </w:rPr>
        <w:t>50</w:t>
      </w:r>
      <w:r w:rsidRPr="00152F00">
        <w:rPr>
          <w:b/>
          <w:lang/>
        </w:rPr>
        <w:t xml:space="preserve"> similar to that of chloroquine (0.125 μM) and formed complexes with β-haematin with a 1:2 stoichiometry to enhance haematin-induced human blood cell lysis</w:t>
      </w:r>
    </w:p>
    <w:p w:rsidR="00152F00" w:rsidRPr="00152F00" w:rsidRDefault="00152F00" w:rsidP="0019036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 w:rsidRPr="00152F00">
        <w:rPr>
          <w:b/>
          <w:lang/>
        </w:rPr>
        <w:t>Pyronaridine has also been shown to inhibit glutathione-dependent haem degredation</w:t>
      </w:r>
    </w:p>
    <w:p w:rsidR="00152F00" w:rsidRPr="00152F00" w:rsidRDefault="00152F00" w:rsidP="00152F00">
      <w:pPr>
        <w:pStyle w:val="ListParagraph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b/>
          <w:color w:val="000000"/>
        </w:rPr>
      </w:pPr>
    </w:p>
    <w:p w:rsidR="00152F00" w:rsidRPr="008546C4" w:rsidRDefault="00152F00" w:rsidP="008546C4">
      <w:pPr>
        <w:pStyle w:val="ListParagraph"/>
        <w:numPr>
          <w:ilvl w:val="0"/>
          <w:numId w:val="20"/>
        </w:numPr>
        <w:spacing w:before="24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 w:rsidRPr="008546C4">
        <w:rPr>
          <w:b/>
          <w:lang/>
        </w:rPr>
        <w:t>Mechanism of naphthoquinone</w:t>
      </w:r>
    </w:p>
    <w:p w:rsidR="00152F00" w:rsidRDefault="00152F00" w:rsidP="00152F00">
      <w:pPr>
        <w:pStyle w:val="ListParagraph"/>
        <w:spacing w:before="100" w:beforeAutospacing="1" w:after="100" w:afterAutospacing="1" w:line="240" w:lineRule="auto"/>
        <w:ind w:left="1080"/>
        <w:rPr>
          <w:b/>
          <w:lang/>
        </w:rPr>
      </w:pPr>
      <w:r>
        <w:rPr>
          <w:b/>
          <w:lang/>
        </w:rPr>
        <w:t>Atovaquone</w:t>
      </w:r>
    </w:p>
    <w:p w:rsidR="00152F00" w:rsidRPr="00152F00" w:rsidRDefault="00152F00" w:rsidP="00152F0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 w:rsidRPr="00152F00">
        <w:rPr>
          <w:b/>
          <w:lang/>
        </w:rPr>
        <w:t xml:space="preserve">inhibits the malarial cytochrome </w:t>
      </w:r>
      <w:r w:rsidRPr="00152F00">
        <w:rPr>
          <w:b/>
          <w:i/>
          <w:iCs/>
          <w:lang/>
        </w:rPr>
        <w:t>bc</w:t>
      </w:r>
      <w:r w:rsidRPr="00152F00">
        <w:rPr>
          <w:b/>
          <w:sz w:val="19"/>
          <w:szCs w:val="19"/>
          <w:vertAlign w:val="subscript"/>
          <w:lang/>
        </w:rPr>
        <w:t>1</w:t>
      </w:r>
      <w:r w:rsidRPr="00152F00">
        <w:rPr>
          <w:b/>
          <w:lang/>
        </w:rPr>
        <w:t xml:space="preserve"> complex in the parasitic</w:t>
      </w:r>
      <w:r>
        <w:rPr>
          <w:lang/>
        </w:rPr>
        <w:t xml:space="preserve"> </w:t>
      </w:r>
      <w:hyperlink r:id="rId23" w:tooltip="Electron transport chain" w:history="1">
        <w:r w:rsidRPr="00152F00">
          <w:rPr>
            <w:rStyle w:val="Hyperlink"/>
            <w:color w:val="000000"/>
            <w:lang/>
          </w:rPr>
          <w:t>electron transport chain</w:t>
        </w:r>
      </w:hyperlink>
      <w:r w:rsidRPr="00152F00">
        <w:rPr>
          <w:b/>
          <w:lang/>
        </w:rPr>
        <w:t>, collapsing the mitochondrial membrane potential</w:t>
      </w:r>
      <w:r>
        <w:rPr>
          <w:b/>
          <w:lang/>
        </w:rPr>
        <w:t>.</w:t>
      </w:r>
    </w:p>
    <w:p w:rsidR="00152F00" w:rsidRPr="00152F00" w:rsidRDefault="00152F00" w:rsidP="00152F0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</w:rPr>
      </w:pPr>
      <w:r w:rsidRPr="00152F00">
        <w:rPr>
          <w:b/>
          <w:lang/>
        </w:rPr>
        <w:t>The malarial electron transport chain does not contribute significantly to ATP synthesis; thus, it is believed that parasite death is due to the indirect inhibition of dihydroorotate dehydrogenase, which requires transport chain function and is essential to pyrimidine biosynthesis.</w:t>
      </w:r>
      <w:hyperlink r:id="rId24" w:anchor="cite_note-15" w:history="1">
        <w:r w:rsidRPr="00152F00">
          <w:rPr>
            <w:rStyle w:val="Hyperlink"/>
            <w:b w:val="0"/>
            <w:sz w:val="19"/>
            <w:szCs w:val="19"/>
            <w:vertAlign w:val="superscript"/>
            <w:lang/>
          </w:rPr>
          <w:t>[</w:t>
        </w:r>
      </w:hyperlink>
    </w:p>
    <w:p w:rsidR="006270A2" w:rsidRPr="00152F00" w:rsidRDefault="006270A2" w:rsidP="006270A2">
      <w:pPr>
        <w:pStyle w:val="ListParagraph"/>
        <w:spacing w:before="100" w:beforeAutospacing="1" w:after="100" w:afterAutospacing="1" w:line="240" w:lineRule="auto"/>
        <w:ind w:left="2880"/>
        <w:rPr>
          <w:rFonts w:ascii="Segoe UI" w:eastAsia="Times New Roman" w:hAnsi="Segoe UI" w:cs="Segoe UI"/>
          <w:b/>
          <w:color w:val="000000"/>
        </w:rPr>
      </w:pPr>
    </w:p>
    <w:p w:rsidR="006270A2" w:rsidRDefault="006270A2" w:rsidP="006270A2">
      <w:pPr>
        <w:spacing w:before="100" w:beforeAutospacing="1" w:after="100" w:afterAutospacing="1" w:line="240" w:lineRule="auto"/>
        <w:ind w:left="2520"/>
        <w:rPr>
          <w:rFonts w:ascii="Segoe UI" w:eastAsia="Times New Roman" w:hAnsi="Segoe UI" w:cs="Segoe UI"/>
          <w:b/>
          <w:color w:val="000000"/>
        </w:rPr>
      </w:pPr>
    </w:p>
    <w:p w:rsidR="00152F00" w:rsidRPr="006270A2" w:rsidRDefault="00152F00" w:rsidP="006270A2">
      <w:pPr>
        <w:spacing w:before="100" w:beforeAutospacing="1" w:after="100" w:afterAutospacing="1" w:line="240" w:lineRule="auto"/>
        <w:ind w:left="2520"/>
        <w:rPr>
          <w:rFonts w:ascii="Segoe UI" w:eastAsia="Times New Roman" w:hAnsi="Segoe UI" w:cs="Segoe UI"/>
          <w:b/>
          <w:color w:val="000000"/>
        </w:rPr>
      </w:pPr>
    </w:p>
    <w:p w:rsidR="00FB5E42" w:rsidRPr="00FB5E42" w:rsidRDefault="00FB5E42" w:rsidP="00FB5E42">
      <w:pPr>
        <w:spacing w:before="100" w:beforeAutospacing="1" w:after="100" w:afterAutospacing="1" w:line="240" w:lineRule="auto"/>
        <w:ind w:left="1800"/>
        <w:rPr>
          <w:rFonts w:ascii="Segoe UI" w:eastAsia="Times New Roman" w:hAnsi="Segoe UI" w:cs="Segoe UI"/>
          <w:b/>
          <w:color w:val="000000"/>
        </w:rPr>
      </w:pPr>
    </w:p>
    <w:p w:rsidR="00D3317E" w:rsidRPr="00D3317E" w:rsidRDefault="00D3317E" w:rsidP="00D3317E">
      <w:pPr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b/>
          <w:color w:val="000000"/>
          <w:sz w:val="20"/>
          <w:szCs w:val="20"/>
        </w:rPr>
      </w:pPr>
    </w:p>
    <w:p w:rsidR="002C13FF" w:rsidRDefault="002C13FF" w:rsidP="00D3317E">
      <w:pPr>
        <w:pStyle w:val="ListParagraph"/>
        <w:spacing w:before="100" w:beforeAutospacing="1" w:after="100" w:afterAutospacing="1" w:line="240" w:lineRule="auto"/>
      </w:pPr>
    </w:p>
    <w:p w:rsidR="00676189" w:rsidRDefault="00676189" w:rsidP="00676189">
      <w:pPr>
        <w:spacing w:line="240" w:lineRule="auto"/>
      </w:pPr>
    </w:p>
    <w:p w:rsidR="002C13FF" w:rsidRDefault="002C13FF" w:rsidP="00676189">
      <w:pPr>
        <w:spacing w:line="240" w:lineRule="auto"/>
      </w:pPr>
    </w:p>
    <w:p w:rsidR="002C13FF" w:rsidRDefault="002C13FF" w:rsidP="00676189">
      <w:pPr>
        <w:spacing w:line="240" w:lineRule="auto"/>
      </w:pPr>
    </w:p>
    <w:p w:rsidR="002C13FF" w:rsidRDefault="002C13FF" w:rsidP="00676189">
      <w:pPr>
        <w:spacing w:line="240" w:lineRule="auto"/>
      </w:pPr>
    </w:p>
    <w:p w:rsidR="002C13FF" w:rsidRDefault="002C13FF" w:rsidP="00676189">
      <w:pPr>
        <w:spacing w:line="240" w:lineRule="auto"/>
      </w:pPr>
    </w:p>
    <w:p w:rsidR="002C13FF" w:rsidRDefault="002C13FF" w:rsidP="00676189">
      <w:pPr>
        <w:spacing w:line="240" w:lineRule="auto"/>
      </w:pPr>
    </w:p>
    <w:p w:rsidR="002C13FF" w:rsidRDefault="007921BD" w:rsidP="007921BD">
      <w:pPr>
        <w:tabs>
          <w:tab w:val="left" w:pos="6588"/>
        </w:tabs>
        <w:spacing w:line="240" w:lineRule="auto"/>
      </w:pPr>
      <w:r>
        <w:tab/>
      </w:r>
    </w:p>
    <w:p w:rsidR="007921BD" w:rsidRDefault="007921BD" w:rsidP="007921BD">
      <w:pPr>
        <w:tabs>
          <w:tab w:val="left" w:pos="6588"/>
        </w:tabs>
        <w:spacing w:line="240" w:lineRule="auto"/>
      </w:pPr>
    </w:p>
    <w:sectPr w:rsidR="007921BD" w:rsidSect="00E55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75F"/>
    <w:multiLevelType w:val="hybridMultilevel"/>
    <w:tmpl w:val="7616A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E34A26"/>
    <w:multiLevelType w:val="hybridMultilevel"/>
    <w:tmpl w:val="8D6E5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A31F96"/>
    <w:multiLevelType w:val="hybridMultilevel"/>
    <w:tmpl w:val="CA9E94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5C65FF8"/>
    <w:multiLevelType w:val="hybridMultilevel"/>
    <w:tmpl w:val="8F80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70998"/>
    <w:multiLevelType w:val="hybridMultilevel"/>
    <w:tmpl w:val="7220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B3B37"/>
    <w:multiLevelType w:val="hybridMultilevel"/>
    <w:tmpl w:val="B4E2EAA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EE418D8"/>
    <w:multiLevelType w:val="hybridMultilevel"/>
    <w:tmpl w:val="AB0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655EB"/>
    <w:multiLevelType w:val="multilevel"/>
    <w:tmpl w:val="C778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43C32"/>
    <w:multiLevelType w:val="hybridMultilevel"/>
    <w:tmpl w:val="2F424D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DBC116B"/>
    <w:multiLevelType w:val="hybridMultilevel"/>
    <w:tmpl w:val="D4404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DB0B7A"/>
    <w:multiLevelType w:val="hybridMultilevel"/>
    <w:tmpl w:val="B1106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A12AC"/>
    <w:multiLevelType w:val="hybridMultilevel"/>
    <w:tmpl w:val="E36E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B62E3"/>
    <w:multiLevelType w:val="hybridMultilevel"/>
    <w:tmpl w:val="C59A463E"/>
    <w:lvl w:ilvl="0" w:tplc="7E18D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C306DC"/>
    <w:multiLevelType w:val="hybridMultilevel"/>
    <w:tmpl w:val="CF22FD90"/>
    <w:lvl w:ilvl="0" w:tplc="C88C19DE">
      <w:start w:val="12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A3A3C"/>
    <w:multiLevelType w:val="hybridMultilevel"/>
    <w:tmpl w:val="8A9E68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D6007D6"/>
    <w:multiLevelType w:val="hybridMultilevel"/>
    <w:tmpl w:val="99EC9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9B1178"/>
    <w:multiLevelType w:val="hybridMultilevel"/>
    <w:tmpl w:val="A226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A471B"/>
    <w:multiLevelType w:val="hybridMultilevel"/>
    <w:tmpl w:val="2B745C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84D1162"/>
    <w:multiLevelType w:val="hybridMultilevel"/>
    <w:tmpl w:val="80081998"/>
    <w:lvl w:ilvl="0" w:tplc="5EFA29F2">
      <w:start w:val="12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7009F4"/>
    <w:multiLevelType w:val="hybridMultilevel"/>
    <w:tmpl w:val="EB90A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6008E0"/>
    <w:multiLevelType w:val="hybridMultilevel"/>
    <w:tmpl w:val="449690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5"/>
  </w:num>
  <w:num w:numId="5">
    <w:abstractNumId w:val="4"/>
  </w:num>
  <w:num w:numId="6">
    <w:abstractNumId w:val="9"/>
  </w:num>
  <w:num w:numId="7">
    <w:abstractNumId w:val="16"/>
  </w:num>
  <w:num w:numId="8">
    <w:abstractNumId w:val="19"/>
  </w:num>
  <w:num w:numId="9">
    <w:abstractNumId w:val="1"/>
  </w:num>
  <w:num w:numId="10">
    <w:abstractNumId w:val="0"/>
  </w:num>
  <w:num w:numId="11">
    <w:abstractNumId w:val="8"/>
  </w:num>
  <w:num w:numId="12">
    <w:abstractNumId w:val="14"/>
  </w:num>
  <w:num w:numId="13">
    <w:abstractNumId w:val="17"/>
  </w:num>
  <w:num w:numId="14">
    <w:abstractNumId w:val="5"/>
  </w:num>
  <w:num w:numId="15">
    <w:abstractNumId w:val="2"/>
  </w:num>
  <w:num w:numId="16">
    <w:abstractNumId w:val="3"/>
  </w:num>
  <w:num w:numId="17">
    <w:abstractNumId w:val="18"/>
  </w:num>
  <w:num w:numId="18">
    <w:abstractNumId w:val="20"/>
  </w:num>
  <w:num w:numId="19">
    <w:abstractNumId w:val="6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189"/>
    <w:rsid w:val="00034CFF"/>
    <w:rsid w:val="00050A51"/>
    <w:rsid w:val="000561C1"/>
    <w:rsid w:val="000B13E5"/>
    <w:rsid w:val="000D375B"/>
    <w:rsid w:val="00152F00"/>
    <w:rsid w:val="0019036C"/>
    <w:rsid w:val="001B5A1C"/>
    <w:rsid w:val="002757D1"/>
    <w:rsid w:val="002C13FF"/>
    <w:rsid w:val="00381F07"/>
    <w:rsid w:val="003B0693"/>
    <w:rsid w:val="005726F8"/>
    <w:rsid w:val="005D5C34"/>
    <w:rsid w:val="006270A2"/>
    <w:rsid w:val="006650FA"/>
    <w:rsid w:val="00676189"/>
    <w:rsid w:val="006E4D32"/>
    <w:rsid w:val="006F6CE2"/>
    <w:rsid w:val="007637B4"/>
    <w:rsid w:val="007921BD"/>
    <w:rsid w:val="007D3542"/>
    <w:rsid w:val="008546C4"/>
    <w:rsid w:val="00966DEC"/>
    <w:rsid w:val="00A820B0"/>
    <w:rsid w:val="00B61B44"/>
    <w:rsid w:val="00B91770"/>
    <w:rsid w:val="00D2137F"/>
    <w:rsid w:val="00D3317E"/>
    <w:rsid w:val="00E55659"/>
    <w:rsid w:val="00FB5E42"/>
    <w:rsid w:val="00FF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6189"/>
    <w:rPr>
      <w:b/>
      <w:bCs/>
      <w:strike w:val="0"/>
      <w:dstrike w:val="0"/>
      <w:color w:val="2270EE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D375B"/>
    <w:pPr>
      <w:ind w:left="720"/>
      <w:contextualSpacing/>
    </w:pPr>
  </w:style>
  <w:style w:type="character" w:customStyle="1" w:styleId="chemf">
    <w:name w:val="chemf"/>
    <w:basedOn w:val="DefaultParagraphFont"/>
    <w:rsid w:val="00FB5E42"/>
  </w:style>
  <w:style w:type="character" w:styleId="Emphasis">
    <w:name w:val="Emphasis"/>
    <w:basedOn w:val="DefaultParagraphFont"/>
    <w:uiPriority w:val="20"/>
    <w:qFormat/>
    <w:rsid w:val="00152F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5D5D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0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4-Aminobenzoic_acid" TargetMode="External"/><Relationship Id="rId13" Type="http://schemas.openxmlformats.org/officeDocument/2006/relationships/hyperlink" Target="https://en.wikipedia.org/wiki/Hypochlorous_acid" TargetMode="External"/><Relationship Id="rId18" Type="http://schemas.openxmlformats.org/officeDocument/2006/relationships/hyperlink" Target="https://en.wikipedia.org/wiki/Plasmodium_falciparu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Reactive_oxygen_species" TargetMode="External"/><Relationship Id="rId7" Type="http://schemas.openxmlformats.org/officeDocument/2006/relationships/hyperlink" Target="https://en.wikipedia.org/wiki/Dihydrofolic_acid" TargetMode="External"/><Relationship Id="rId12" Type="http://schemas.openxmlformats.org/officeDocument/2006/relationships/hyperlink" Target="https://en.wikipedia.org/wiki/Neutrophil" TargetMode="External"/><Relationship Id="rId17" Type="http://schemas.openxmlformats.org/officeDocument/2006/relationships/hyperlink" Target="https://en.wikipedia.org/wiki/Matrix_metalloproteinase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MRNA_translation" TargetMode="External"/><Relationship Id="rId20" Type="http://schemas.openxmlformats.org/officeDocument/2006/relationships/hyperlink" Target="https://en.wikipedia.org/wiki/Pharmacopho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Bacteria" TargetMode="External"/><Relationship Id="rId11" Type="http://schemas.openxmlformats.org/officeDocument/2006/relationships/hyperlink" Target="https://en.wikipedia.org/wiki/Respiratory_burst" TargetMode="External"/><Relationship Id="rId24" Type="http://schemas.openxmlformats.org/officeDocument/2006/relationships/hyperlink" Target="https://en.wikipedia.org/wiki/Atovaquone/proguanil" TargetMode="External"/><Relationship Id="rId5" Type="http://schemas.openxmlformats.org/officeDocument/2006/relationships/hyperlink" Target="https://en.wikipedia.org/wiki/Antibacterial" TargetMode="External"/><Relationship Id="rId15" Type="http://schemas.openxmlformats.org/officeDocument/2006/relationships/hyperlink" Target="https://en.wikipedia.org/wiki/Aminoacyl-tRNA" TargetMode="External"/><Relationship Id="rId23" Type="http://schemas.openxmlformats.org/officeDocument/2006/relationships/hyperlink" Target="https://en.wikipedia.org/wiki/Electron_transport_chain" TargetMode="External"/><Relationship Id="rId10" Type="http://schemas.openxmlformats.org/officeDocument/2006/relationships/hyperlink" Target="https://en.wikipedia.org/wiki/Anti-inflammatory" TargetMode="External"/><Relationship Id="rId19" Type="http://schemas.openxmlformats.org/officeDocument/2006/relationships/hyperlink" Target="https://en.wikipedia.org/wiki/MA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Dihydropteroate_synthase" TargetMode="External"/><Relationship Id="rId14" Type="http://schemas.openxmlformats.org/officeDocument/2006/relationships/hyperlink" Target="https://en.wikipedia.org/wiki/30S_ribosomal_subunit" TargetMode="External"/><Relationship Id="rId22" Type="http://schemas.openxmlformats.org/officeDocument/2006/relationships/hyperlink" Target="https://en.wikipedia.org/wiki/Alky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FCT CUSTOMARY</dc:creator>
  <cp:lastModifiedBy>FCT CUSTOMARY</cp:lastModifiedBy>
  <cp:revision>6</cp:revision>
  <dcterms:created xsi:type="dcterms:W3CDTF">2020-04-25T08:19:00Z</dcterms:created>
  <dcterms:modified xsi:type="dcterms:W3CDTF">2020-04-28T13:45:00Z</dcterms:modified>
</cp:coreProperties>
</file>