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03" w:rsidRPr="00A32C0F" w:rsidRDefault="006E6962" w:rsidP="000F0A25">
      <w:pPr>
        <w:spacing w:line="360" w:lineRule="auto"/>
        <w:contextualSpacing/>
        <w:rPr>
          <w:rFonts w:ascii="Times New Roman" w:hAnsi="Times New Roman"/>
          <w:bCs/>
        </w:rPr>
      </w:pPr>
      <w:bookmarkStart w:id="0" w:name="_GoBack"/>
      <w:bookmarkEnd w:id="0"/>
      <w:r w:rsidRPr="00176A03">
        <w:rPr>
          <w:rFonts w:ascii="Times New Roman" w:hAnsi="Times New Roman"/>
          <w:b/>
          <w:bCs/>
        </w:rPr>
        <w:t>Name:</w:t>
      </w:r>
      <w:r w:rsidR="00A32C0F">
        <w:rPr>
          <w:rFonts w:ascii="Times New Roman" w:hAnsi="Times New Roman"/>
          <w:b/>
          <w:bCs/>
        </w:rPr>
        <w:t xml:space="preserve"> </w:t>
      </w:r>
      <w:r w:rsidR="00A32C0F" w:rsidRPr="00A32C0F">
        <w:rPr>
          <w:rFonts w:ascii="Times New Roman" w:hAnsi="Times New Roman"/>
          <w:bCs/>
        </w:rPr>
        <w:t>Precious Orogbu</w:t>
      </w:r>
    </w:p>
    <w:p w:rsidR="00176A03" w:rsidRPr="00A32C0F" w:rsidRDefault="00176A03" w:rsidP="000F0A25">
      <w:pPr>
        <w:spacing w:line="360" w:lineRule="auto"/>
        <w:contextualSpacing/>
        <w:rPr>
          <w:rFonts w:ascii="Times New Roman" w:hAnsi="Times New Roman"/>
          <w:bCs/>
        </w:rPr>
      </w:pPr>
      <w:r w:rsidRPr="00176A03">
        <w:rPr>
          <w:rFonts w:ascii="Times New Roman" w:hAnsi="Times New Roman"/>
          <w:b/>
        </w:rPr>
        <w:t xml:space="preserve">Course </w:t>
      </w:r>
      <w:r w:rsidR="00A32C0F">
        <w:rPr>
          <w:rFonts w:ascii="Times New Roman" w:hAnsi="Times New Roman"/>
          <w:b/>
        </w:rPr>
        <w:t xml:space="preserve">code: </w:t>
      </w:r>
      <w:r w:rsidR="00A32C0F">
        <w:rPr>
          <w:rFonts w:ascii="Times New Roman" w:hAnsi="Times New Roman"/>
        </w:rPr>
        <w:t>PHA 302</w:t>
      </w:r>
    </w:p>
    <w:p w:rsidR="00176A03" w:rsidRPr="00176A03" w:rsidRDefault="00176A03" w:rsidP="000F0A25">
      <w:pPr>
        <w:spacing w:after="0" w:line="360" w:lineRule="auto"/>
        <w:contextualSpacing/>
        <w:rPr>
          <w:rFonts w:ascii="Times New Roman" w:hAnsi="Times New Roman"/>
          <w:b/>
        </w:rPr>
      </w:pPr>
      <w:r w:rsidRPr="00176A03">
        <w:rPr>
          <w:rFonts w:ascii="Times New Roman" w:hAnsi="Times New Roman"/>
          <w:b/>
        </w:rPr>
        <w:t>Matric No</w:t>
      </w:r>
      <w:r w:rsidRPr="006E6962">
        <w:rPr>
          <w:rFonts w:ascii="Times New Roman" w:hAnsi="Times New Roman"/>
        </w:rPr>
        <w:t>:</w:t>
      </w:r>
      <w:r w:rsidR="00A32C0F" w:rsidRPr="006E6962">
        <w:rPr>
          <w:rFonts w:ascii="Times New Roman" w:hAnsi="Times New Roman"/>
        </w:rPr>
        <w:t xml:space="preserve"> 16</w:t>
      </w:r>
      <w:r w:rsidR="006E6962" w:rsidRPr="006E6962">
        <w:rPr>
          <w:rFonts w:ascii="Times New Roman" w:hAnsi="Times New Roman"/>
        </w:rPr>
        <w:t>/MHS06/060</w:t>
      </w:r>
      <w:r w:rsidR="003A5350">
        <w:rPr>
          <w:rFonts w:ascii="Times New Roman" w:hAnsi="Times New Roman"/>
        </w:rPr>
        <w:t>(CARRY OVER)</w:t>
      </w:r>
    </w:p>
    <w:p w:rsidR="00176A03" w:rsidRPr="00176A03" w:rsidRDefault="00176A03" w:rsidP="000F0A25">
      <w:pPr>
        <w:spacing w:line="360" w:lineRule="auto"/>
        <w:contextualSpacing/>
        <w:rPr>
          <w:rFonts w:ascii="Times New Roman" w:hAnsi="Times New Roman"/>
          <w:b/>
          <w:bCs/>
          <w:sz w:val="28"/>
          <w:szCs w:val="28"/>
          <w:u w:val="single"/>
        </w:rPr>
      </w:pPr>
      <w:r w:rsidRPr="00176A03">
        <w:rPr>
          <w:rFonts w:ascii="Times New Roman" w:hAnsi="Times New Roman"/>
          <w:b/>
          <w:bCs/>
          <w:sz w:val="28"/>
          <w:szCs w:val="28"/>
          <w:u w:val="single"/>
        </w:rPr>
        <w:t xml:space="preserve">Question </w:t>
      </w:r>
    </w:p>
    <w:p w:rsidR="00176A03" w:rsidRDefault="00176A03" w:rsidP="000F0A25">
      <w:pPr>
        <w:spacing w:line="360" w:lineRule="auto"/>
        <w:contextualSpacing/>
        <w:rPr>
          <w:rFonts w:ascii="Times New Roman" w:hAnsi="Times New Roman"/>
        </w:rPr>
      </w:pPr>
      <w:r w:rsidRPr="00176A03">
        <w:rPr>
          <w:rFonts w:ascii="Times New Roman" w:hAnsi="Times New Roman"/>
        </w:rPr>
        <w:t>Write on a named bacterial protein synthesis inhibitor, stating its mechanism of action, indication for use, toxicity and adverse effects</w:t>
      </w:r>
      <w:r w:rsidR="00A27238">
        <w:rPr>
          <w:rFonts w:ascii="Times New Roman" w:hAnsi="Times New Roman"/>
        </w:rPr>
        <w:t>.</w:t>
      </w:r>
    </w:p>
    <w:p w:rsidR="00E85BC2" w:rsidRPr="00E85BC2" w:rsidRDefault="00E85BC2" w:rsidP="00E85BC2">
      <w:pPr>
        <w:spacing w:after="0" w:line="360" w:lineRule="auto"/>
        <w:rPr>
          <w:rFonts w:ascii="Times New Roman" w:hAnsi="Times New Roman"/>
          <w:b/>
          <w:sz w:val="24"/>
          <w:szCs w:val="24"/>
          <w:u w:val="single"/>
        </w:rPr>
      </w:pPr>
      <w:r w:rsidRPr="00E85BC2">
        <w:rPr>
          <w:rFonts w:ascii="Times New Roman" w:hAnsi="Times New Roman"/>
          <w:b/>
          <w:sz w:val="24"/>
          <w:szCs w:val="24"/>
          <w:u w:val="single"/>
        </w:rPr>
        <w:t xml:space="preserve">ANSWER </w:t>
      </w:r>
    </w:p>
    <w:p w:rsidR="00176A03" w:rsidRPr="00176A03" w:rsidRDefault="00176A03" w:rsidP="000F0A25">
      <w:pPr>
        <w:spacing w:line="360" w:lineRule="auto"/>
        <w:contextualSpacing/>
        <w:rPr>
          <w:rFonts w:ascii="Times New Roman" w:hAnsi="Times New Roman"/>
        </w:rPr>
      </w:pPr>
      <w:r w:rsidRPr="00A27238">
        <w:rPr>
          <w:rFonts w:ascii="Times New Roman" w:hAnsi="Times New Roman"/>
          <w:b/>
          <w:sz w:val="24"/>
          <w:szCs w:val="24"/>
          <w:u w:val="single"/>
        </w:rPr>
        <w:t>Clindamycin</w:t>
      </w:r>
      <w:r w:rsidRPr="00176A03">
        <w:rPr>
          <w:rFonts w:ascii="Times New Roman" w:hAnsi="Times New Roman"/>
        </w:rPr>
        <w:t xml:space="preserve"> is an antibiotic used for the treatment of a number of bacterial infections, including bone or joint infections, pelvic inflammatory disease, strep throat, pneumonia, middle ear infections, and endocarditis. It can also be used to treat acne, and some cases of methicillin-resistant Staphylococcus aureus</w:t>
      </w:r>
    </w:p>
    <w:p w:rsidR="00176A03" w:rsidRPr="00176A03" w:rsidRDefault="00176A03" w:rsidP="000F0A25">
      <w:pPr>
        <w:spacing w:line="360" w:lineRule="auto"/>
        <w:contextualSpacing/>
        <w:rPr>
          <w:rFonts w:ascii="Times New Roman" w:hAnsi="Times New Roman"/>
        </w:rPr>
      </w:pPr>
    </w:p>
    <w:p w:rsidR="00AE3CEC" w:rsidRPr="000F0A25" w:rsidRDefault="00AF2718" w:rsidP="000F0A25">
      <w:pPr>
        <w:spacing w:line="360" w:lineRule="auto"/>
        <w:contextualSpacing/>
        <w:rPr>
          <w:rFonts w:ascii="Times New Roman" w:hAnsi="Times New Roman"/>
          <w:b/>
          <w:u w:val="single"/>
        </w:rPr>
      </w:pPr>
      <w:r w:rsidRPr="000F0A25">
        <w:rPr>
          <w:rFonts w:ascii="Times New Roman" w:hAnsi="Times New Roman"/>
          <w:b/>
          <w:u w:val="single"/>
        </w:rPr>
        <w:t>Mechanism of Action</w:t>
      </w:r>
    </w:p>
    <w:p w:rsidR="00AE3CEC" w:rsidRPr="00176A03" w:rsidRDefault="00AF2718" w:rsidP="000F0A25">
      <w:pPr>
        <w:spacing w:line="360" w:lineRule="auto"/>
        <w:contextualSpacing/>
        <w:rPr>
          <w:rFonts w:ascii="Times New Roman" w:hAnsi="Times New Roman"/>
        </w:rPr>
      </w:pPr>
      <w:r w:rsidRPr="00176A03">
        <w:rPr>
          <w:rFonts w:ascii="Times New Roman" w:hAnsi="Times New Roman"/>
        </w:rPr>
        <w:t>Clindamycin prevents peptide bond formation, thereby inhibiting protein synthesis by reversibly binding to 50S ribosomal subunits. Depending on the organism, infection site, and drug concentration, clindamycin may be a bacteriostatic or bactericidal antibiotic.</w:t>
      </w:r>
    </w:p>
    <w:p w:rsidR="00AE3CEC" w:rsidRPr="00176A03" w:rsidRDefault="00AF2718" w:rsidP="000F0A25">
      <w:pPr>
        <w:spacing w:line="360" w:lineRule="auto"/>
        <w:contextualSpacing/>
        <w:rPr>
          <w:rFonts w:ascii="Times New Roman" w:hAnsi="Times New Roman"/>
        </w:rPr>
      </w:pPr>
      <w:r w:rsidRPr="00176A03">
        <w:rPr>
          <w:rFonts w:ascii="Times New Roman" w:hAnsi="Times New Roman"/>
        </w:rPr>
        <w:t xml:space="preserve"> When taken orally, absorption cannot take place until clindamycin palmitate becomes hydrolyzed in the gastrointestinal (GI) tract. It then distributes across the body in tissue and other regions containing blood. Clindamycin cannot efficiently penetrate meninges very well and is therefore not an antibiotic of choice for infections of the cerebrospinal fluid (CSF). As it travels through the bloodstream, clindamycin is primarily bound to protein. </w:t>
      </w:r>
    </w:p>
    <w:p w:rsidR="00AF2718" w:rsidRPr="00176A03" w:rsidRDefault="00AF2718" w:rsidP="000F0A25">
      <w:pPr>
        <w:spacing w:line="360" w:lineRule="auto"/>
        <w:contextualSpacing/>
        <w:rPr>
          <w:rFonts w:ascii="Times New Roman" w:hAnsi="Times New Roman"/>
        </w:rPr>
      </w:pPr>
      <w:r w:rsidRPr="00176A03">
        <w:rPr>
          <w:rFonts w:ascii="Times New Roman" w:hAnsi="Times New Roman"/>
        </w:rPr>
        <w:t>Clindamycin is primarily metabolized in the liver by CYP 3A4 (major) and CYP 3A5, which oxidize the antibiotic into clindamycin sulfoxide (primary metabolite) and N-desmethyl clindamycin respectively. When administered orally, the antibiotic peaks within 60 minutes. When given intramuscularly (IM), the drug achieves peak concentrations in 1 to 3 hours. The half-life of clindamycin is approximately 3 hours in adults and approximately 2.5 hours in children, at which point it is excreted in the urine (major) and feces (minor) as active and inactive metabolites.</w:t>
      </w:r>
    </w:p>
    <w:p w:rsidR="00AF2718" w:rsidRPr="00CD3483" w:rsidRDefault="00C0576A" w:rsidP="000F0A25">
      <w:pPr>
        <w:spacing w:line="360" w:lineRule="auto"/>
        <w:contextualSpacing/>
        <w:rPr>
          <w:rFonts w:ascii="Times New Roman" w:hAnsi="Times New Roman"/>
          <w:b/>
          <w:sz w:val="24"/>
          <w:szCs w:val="24"/>
          <w:u w:val="single"/>
        </w:rPr>
      </w:pPr>
      <w:r>
        <w:rPr>
          <w:rFonts w:ascii="Times New Roman" w:hAnsi="Times New Roman"/>
          <w:b/>
          <w:sz w:val="24"/>
          <w:szCs w:val="24"/>
          <w:u w:val="single"/>
        </w:rPr>
        <w:t xml:space="preserve">Indication of </w:t>
      </w:r>
      <w:r w:rsidR="00AF2718" w:rsidRPr="00CD3483">
        <w:rPr>
          <w:rFonts w:ascii="Times New Roman" w:hAnsi="Times New Roman"/>
          <w:b/>
          <w:sz w:val="24"/>
          <w:szCs w:val="24"/>
          <w:u w:val="single"/>
        </w:rPr>
        <w:t>Use</w:t>
      </w:r>
    </w:p>
    <w:p w:rsidR="00AF2718" w:rsidRPr="00176A03" w:rsidRDefault="00AF2718" w:rsidP="000F0A25">
      <w:pPr>
        <w:spacing w:line="360" w:lineRule="auto"/>
        <w:contextualSpacing/>
        <w:rPr>
          <w:rFonts w:ascii="Times New Roman" w:hAnsi="Times New Roman"/>
        </w:rPr>
      </w:pPr>
      <w:r w:rsidRPr="00176A03">
        <w:rPr>
          <w:rFonts w:ascii="Times New Roman" w:hAnsi="Times New Roman"/>
        </w:rPr>
        <w:t>Clindamycin is indicated in the treatment of serious infections caused by susceptible anaerobic bacteria.</w:t>
      </w:r>
    </w:p>
    <w:p w:rsidR="00AF2718" w:rsidRDefault="00AF2718" w:rsidP="000F0A25">
      <w:pPr>
        <w:spacing w:line="360" w:lineRule="auto"/>
        <w:contextualSpacing/>
        <w:rPr>
          <w:rFonts w:ascii="Times New Roman" w:hAnsi="Times New Roman"/>
        </w:rPr>
      </w:pPr>
      <w:r w:rsidRPr="00176A03">
        <w:rPr>
          <w:rFonts w:ascii="Times New Roman" w:hAnsi="Times New Roman"/>
        </w:rPr>
        <w:t>Clindamycin is also indicated in the treatment of serious infections due to susceptible strains of streptococci, pneumococci, and staphylococci.</w:t>
      </w:r>
    </w:p>
    <w:p w:rsidR="00AB26E8" w:rsidRDefault="00AB26E8" w:rsidP="00783FB9">
      <w:pPr>
        <w:spacing w:line="360" w:lineRule="auto"/>
        <w:contextualSpacing/>
        <w:rPr>
          <w:rFonts w:ascii="Times New Roman" w:hAnsi="Times New Roman"/>
        </w:rPr>
      </w:pPr>
    </w:p>
    <w:p w:rsidR="00AB26E8" w:rsidRDefault="00AB26E8" w:rsidP="00783FB9">
      <w:pPr>
        <w:spacing w:line="360" w:lineRule="auto"/>
        <w:contextualSpacing/>
        <w:rPr>
          <w:rFonts w:ascii="Times New Roman" w:hAnsi="Times New Roman"/>
        </w:rPr>
      </w:pPr>
    </w:p>
    <w:p w:rsidR="00783FB9" w:rsidRPr="00A32C0F" w:rsidRDefault="00783FB9" w:rsidP="00783FB9">
      <w:pPr>
        <w:spacing w:line="360" w:lineRule="auto"/>
        <w:contextualSpacing/>
        <w:rPr>
          <w:rFonts w:ascii="Times New Roman" w:hAnsi="Times New Roman"/>
          <w:b/>
          <w:u w:val="single"/>
        </w:rPr>
      </w:pPr>
      <w:r w:rsidRPr="00A32C0F">
        <w:rPr>
          <w:rFonts w:ascii="Times New Roman" w:hAnsi="Times New Roman"/>
          <w:b/>
          <w:u w:val="single"/>
        </w:rPr>
        <w:lastRenderedPageBreak/>
        <w:t>Toxicity</w:t>
      </w:r>
    </w:p>
    <w:p w:rsidR="00783FB9" w:rsidRPr="00176A03" w:rsidRDefault="00783FB9" w:rsidP="00783FB9">
      <w:pPr>
        <w:spacing w:line="360" w:lineRule="auto"/>
        <w:contextualSpacing/>
        <w:rPr>
          <w:rFonts w:ascii="Times New Roman" w:hAnsi="Times New Roman"/>
        </w:rPr>
      </w:pPr>
      <w:r w:rsidRPr="00176A03">
        <w:rPr>
          <w:rFonts w:ascii="Times New Roman" w:hAnsi="Times New Roman"/>
        </w:rPr>
        <w:t>The most common adverse effects that occur with clindamycin toxicity are GI or allergic. There is no antidote for clindamycin toxicity, and the adverse effects will resolve with dose adjustment or discontinuatio</w:t>
      </w:r>
      <w:r>
        <w:rPr>
          <w:rFonts w:ascii="Times New Roman" w:hAnsi="Times New Roman"/>
        </w:rPr>
        <w:t xml:space="preserve">n of the antibiotic. </w:t>
      </w:r>
    </w:p>
    <w:p w:rsidR="00783FB9" w:rsidRPr="00783FB9" w:rsidRDefault="00783FB9" w:rsidP="00783FB9">
      <w:pPr>
        <w:spacing w:after="0" w:line="240" w:lineRule="auto"/>
      </w:pPr>
    </w:p>
    <w:p w:rsidR="00AF2718" w:rsidRPr="00176A03" w:rsidRDefault="00AF2718" w:rsidP="000F0A25">
      <w:pPr>
        <w:spacing w:line="360" w:lineRule="auto"/>
        <w:contextualSpacing/>
        <w:rPr>
          <w:rFonts w:ascii="Times New Roman" w:hAnsi="Times New Roman"/>
        </w:rPr>
      </w:pPr>
    </w:p>
    <w:p w:rsidR="00AF2718" w:rsidRPr="00AB26E8" w:rsidRDefault="00AF2718" w:rsidP="000F0A25">
      <w:pPr>
        <w:spacing w:line="360" w:lineRule="auto"/>
        <w:contextualSpacing/>
        <w:rPr>
          <w:rFonts w:ascii="Times New Roman" w:hAnsi="Times New Roman"/>
          <w:b/>
          <w:sz w:val="24"/>
          <w:szCs w:val="24"/>
          <w:u w:val="single"/>
        </w:rPr>
      </w:pPr>
    </w:p>
    <w:p w:rsidR="00AF2718" w:rsidRPr="00AB26E8" w:rsidRDefault="00AF2718" w:rsidP="000F0A25">
      <w:pPr>
        <w:spacing w:line="360" w:lineRule="auto"/>
        <w:contextualSpacing/>
        <w:rPr>
          <w:rFonts w:ascii="Times New Roman" w:hAnsi="Times New Roman"/>
          <w:b/>
          <w:sz w:val="24"/>
          <w:szCs w:val="24"/>
          <w:u w:val="single"/>
        </w:rPr>
      </w:pPr>
      <w:r w:rsidRPr="00AB26E8">
        <w:rPr>
          <w:rFonts w:ascii="Times New Roman" w:hAnsi="Times New Roman"/>
          <w:b/>
          <w:sz w:val="24"/>
          <w:szCs w:val="24"/>
          <w:u w:val="single"/>
        </w:rPr>
        <w:t xml:space="preserve">Side </w:t>
      </w:r>
      <w:r w:rsidR="004A6AF1" w:rsidRPr="00AB26E8">
        <w:rPr>
          <w:rFonts w:ascii="Times New Roman" w:hAnsi="Times New Roman"/>
          <w:b/>
          <w:sz w:val="24"/>
          <w:szCs w:val="24"/>
          <w:u w:val="single"/>
        </w:rPr>
        <w:t xml:space="preserve">Effects </w:t>
      </w:r>
    </w:p>
    <w:p w:rsidR="00E8545F" w:rsidRDefault="00E8545F" w:rsidP="00AB26E8">
      <w:pPr>
        <w:numPr>
          <w:ilvl w:val="0"/>
          <w:numId w:val="1"/>
        </w:numPr>
        <w:spacing w:line="360" w:lineRule="auto"/>
        <w:contextualSpacing/>
        <w:rPr>
          <w:rFonts w:ascii="Times New Roman" w:hAnsi="Times New Roman"/>
        </w:rPr>
      </w:pPr>
      <w:r>
        <w:rPr>
          <w:rFonts w:ascii="Times New Roman" w:hAnsi="Times New Roman"/>
        </w:rPr>
        <w:t>Nausea</w:t>
      </w:r>
    </w:p>
    <w:p w:rsidR="00E8545F" w:rsidRDefault="00E8545F" w:rsidP="00AB26E8">
      <w:pPr>
        <w:numPr>
          <w:ilvl w:val="0"/>
          <w:numId w:val="1"/>
        </w:numPr>
        <w:spacing w:line="360" w:lineRule="auto"/>
        <w:contextualSpacing/>
        <w:rPr>
          <w:rFonts w:ascii="Times New Roman" w:hAnsi="Times New Roman"/>
        </w:rPr>
      </w:pPr>
      <w:r>
        <w:rPr>
          <w:rFonts w:ascii="Times New Roman" w:hAnsi="Times New Roman"/>
        </w:rPr>
        <w:t>Vomiting</w:t>
      </w:r>
    </w:p>
    <w:p w:rsidR="00E8545F" w:rsidRPr="00E8545F" w:rsidRDefault="00E8545F" w:rsidP="00AB26E8">
      <w:pPr>
        <w:numPr>
          <w:ilvl w:val="0"/>
          <w:numId w:val="1"/>
        </w:numPr>
        <w:spacing w:line="360" w:lineRule="auto"/>
        <w:contextualSpacing/>
        <w:rPr>
          <w:rFonts w:ascii="Times New Roman" w:hAnsi="Times New Roman"/>
        </w:rPr>
      </w:pPr>
      <w:r w:rsidRPr="00E8545F">
        <w:rPr>
          <w:rFonts w:ascii="Times New Roman" w:hAnsi="Times New Roman"/>
        </w:rPr>
        <w:t>Stomach pain</w:t>
      </w:r>
    </w:p>
    <w:p w:rsidR="00AF2718" w:rsidRPr="00176A03" w:rsidRDefault="00E8545F" w:rsidP="00AB26E8">
      <w:pPr>
        <w:numPr>
          <w:ilvl w:val="0"/>
          <w:numId w:val="1"/>
        </w:numPr>
        <w:spacing w:line="360" w:lineRule="auto"/>
        <w:contextualSpacing/>
        <w:rPr>
          <w:rFonts w:ascii="Times New Roman" w:hAnsi="Times New Roman"/>
        </w:rPr>
      </w:pPr>
      <w:r>
        <w:rPr>
          <w:rFonts w:ascii="Times New Roman" w:hAnsi="Times New Roman"/>
        </w:rPr>
        <w:t>Mild skin rash</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U</w:t>
      </w:r>
      <w:r w:rsidR="00AF2718" w:rsidRPr="00176A03">
        <w:rPr>
          <w:rFonts w:ascii="Times New Roman" w:hAnsi="Times New Roman"/>
        </w:rPr>
        <w:t>npleasant or metallic taste in the mouth</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J</w:t>
      </w:r>
      <w:r w:rsidR="00AF2718" w:rsidRPr="00176A03">
        <w:rPr>
          <w:rFonts w:ascii="Times New Roman" w:hAnsi="Times New Roman"/>
        </w:rPr>
        <w:t>oint pain</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P</w:t>
      </w:r>
      <w:r w:rsidR="00AF2718" w:rsidRPr="00176A03">
        <w:rPr>
          <w:rFonts w:ascii="Times New Roman" w:hAnsi="Times New Roman"/>
        </w:rPr>
        <w:t>ain when swallowing</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H</w:t>
      </w:r>
      <w:r w:rsidR="00AF2718" w:rsidRPr="00176A03">
        <w:rPr>
          <w:rFonts w:ascii="Times New Roman" w:hAnsi="Times New Roman"/>
        </w:rPr>
        <w:t>eartburn</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W</w:t>
      </w:r>
      <w:r w:rsidR="00AF2718" w:rsidRPr="00176A03">
        <w:rPr>
          <w:rFonts w:ascii="Times New Roman" w:hAnsi="Times New Roman"/>
        </w:rPr>
        <w:t>hite patches in the mouth</w:t>
      </w:r>
    </w:p>
    <w:p w:rsidR="00AF2718" w:rsidRPr="00176A03"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T</w:t>
      </w:r>
      <w:r w:rsidR="00AF2718" w:rsidRPr="00176A03">
        <w:rPr>
          <w:rFonts w:ascii="Times New Roman" w:hAnsi="Times New Roman"/>
        </w:rPr>
        <w:t>hick, white vaginal discharge</w:t>
      </w:r>
    </w:p>
    <w:p w:rsidR="00E8545F" w:rsidRDefault="00E8545F" w:rsidP="00AB26E8">
      <w:pPr>
        <w:numPr>
          <w:ilvl w:val="0"/>
          <w:numId w:val="1"/>
        </w:numPr>
        <w:spacing w:line="360" w:lineRule="auto"/>
        <w:contextualSpacing/>
        <w:rPr>
          <w:rFonts w:ascii="Times New Roman" w:hAnsi="Times New Roman"/>
        </w:rPr>
      </w:pPr>
      <w:r w:rsidRPr="00176A03">
        <w:rPr>
          <w:rFonts w:ascii="Times New Roman" w:hAnsi="Times New Roman"/>
        </w:rPr>
        <w:t>B</w:t>
      </w:r>
      <w:r w:rsidR="00AF2718" w:rsidRPr="00176A03">
        <w:rPr>
          <w:rFonts w:ascii="Times New Roman" w:hAnsi="Times New Roman"/>
        </w:rPr>
        <w:t>urning, itching, and swelling of the vagina</w:t>
      </w:r>
    </w:p>
    <w:p w:rsidR="00AF2718" w:rsidRPr="00176A03" w:rsidRDefault="00E8545F" w:rsidP="000F0A25">
      <w:pPr>
        <w:spacing w:line="360" w:lineRule="auto"/>
        <w:contextualSpacing/>
        <w:rPr>
          <w:rFonts w:ascii="Times New Roman" w:hAnsi="Times New Roman"/>
        </w:rPr>
      </w:pPr>
      <w:r w:rsidRPr="00AF2718">
        <w:rPr>
          <w:rFonts w:ascii="Times New Roman" w:hAnsi="Times New Roman"/>
          <w:b/>
        </w:rPr>
        <w:t xml:space="preserve">Serious side effects </w:t>
      </w:r>
      <w:r w:rsidR="000B6FEE" w:rsidRPr="00AF2718">
        <w:rPr>
          <w:rFonts w:ascii="Times New Roman" w:hAnsi="Times New Roman"/>
          <w:b/>
        </w:rPr>
        <w:t>may include</w:t>
      </w:r>
      <w:r w:rsidR="000B6FEE">
        <w:rPr>
          <w:rFonts w:ascii="Times New Roman" w:hAnsi="Times New Roman"/>
        </w:rPr>
        <w:t>:</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P</w:t>
      </w:r>
      <w:r w:rsidR="00AF2718" w:rsidRPr="00176A03">
        <w:rPr>
          <w:rFonts w:ascii="Times New Roman" w:hAnsi="Times New Roman"/>
        </w:rPr>
        <w:t>eeling or blistering skin</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R</w:t>
      </w:r>
      <w:r w:rsidR="00AF2718" w:rsidRPr="00176A03">
        <w:rPr>
          <w:rFonts w:ascii="Times New Roman" w:hAnsi="Times New Roman"/>
        </w:rPr>
        <w:t>ash</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H</w:t>
      </w:r>
      <w:r w:rsidR="00AF2718" w:rsidRPr="00176A03">
        <w:rPr>
          <w:rFonts w:ascii="Times New Roman" w:hAnsi="Times New Roman"/>
        </w:rPr>
        <w:t>ives</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I</w:t>
      </w:r>
      <w:r w:rsidR="00AF2718" w:rsidRPr="00176A03">
        <w:rPr>
          <w:rFonts w:ascii="Times New Roman" w:hAnsi="Times New Roman"/>
        </w:rPr>
        <w:t>tching</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D</w:t>
      </w:r>
      <w:r w:rsidR="00AF2718" w:rsidRPr="00176A03">
        <w:rPr>
          <w:rFonts w:ascii="Times New Roman" w:hAnsi="Times New Roman"/>
        </w:rPr>
        <w:t>ifficulty breathing or swallowing</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H</w:t>
      </w:r>
      <w:r w:rsidR="00AF2718" w:rsidRPr="00176A03">
        <w:rPr>
          <w:rFonts w:ascii="Times New Roman" w:hAnsi="Times New Roman"/>
        </w:rPr>
        <w:t>oarseness</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S</w:t>
      </w:r>
      <w:r w:rsidR="00AF2718" w:rsidRPr="00176A03">
        <w:rPr>
          <w:rFonts w:ascii="Times New Roman" w:hAnsi="Times New Roman"/>
        </w:rPr>
        <w:t>welling of the face, throat, tongue, lips, eyes, hands, feet, ankles, or lower legs</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Y</w:t>
      </w:r>
      <w:r w:rsidR="00AF2718" w:rsidRPr="00176A03">
        <w:rPr>
          <w:rFonts w:ascii="Times New Roman" w:hAnsi="Times New Roman"/>
        </w:rPr>
        <w:t>ellowing of the skin or eyes</w:t>
      </w:r>
    </w:p>
    <w:p w:rsidR="00AF2718" w:rsidRPr="00176A03" w:rsidRDefault="00E8545F" w:rsidP="00AB26E8">
      <w:pPr>
        <w:numPr>
          <w:ilvl w:val="0"/>
          <w:numId w:val="4"/>
        </w:numPr>
        <w:spacing w:line="360" w:lineRule="auto"/>
        <w:contextualSpacing/>
        <w:rPr>
          <w:rFonts w:ascii="Times New Roman" w:hAnsi="Times New Roman"/>
        </w:rPr>
      </w:pPr>
      <w:r>
        <w:rPr>
          <w:rFonts w:ascii="Times New Roman" w:hAnsi="Times New Roman"/>
        </w:rPr>
        <w:t>D</w:t>
      </w:r>
      <w:r w:rsidR="00AF2718" w:rsidRPr="00176A03">
        <w:rPr>
          <w:rFonts w:ascii="Times New Roman" w:hAnsi="Times New Roman"/>
        </w:rPr>
        <w:t>ecreased urination</w:t>
      </w:r>
    </w:p>
    <w:p w:rsidR="00AF2718" w:rsidRDefault="00AF2718" w:rsidP="000F0A25">
      <w:pPr>
        <w:spacing w:line="360" w:lineRule="auto"/>
        <w:contextualSpacing/>
        <w:rPr>
          <w:rFonts w:ascii="Times New Roman" w:hAnsi="Times New Roman"/>
        </w:rPr>
      </w:pPr>
    </w:p>
    <w:p w:rsidR="00AB26E8" w:rsidRDefault="00AB26E8" w:rsidP="00AB26E8">
      <w:pPr>
        <w:spacing w:after="0" w:line="240" w:lineRule="auto"/>
      </w:pPr>
    </w:p>
    <w:p w:rsidR="00AB26E8" w:rsidRPr="00AB26E8" w:rsidRDefault="00AB26E8" w:rsidP="00AB26E8">
      <w:pPr>
        <w:spacing w:after="0" w:line="240" w:lineRule="auto"/>
      </w:pPr>
    </w:p>
    <w:p w:rsidR="00A530BA" w:rsidRPr="00176A03" w:rsidRDefault="00A530BA" w:rsidP="000F0A25">
      <w:pPr>
        <w:spacing w:line="360" w:lineRule="auto"/>
        <w:contextualSpacing/>
        <w:rPr>
          <w:rFonts w:ascii="Times New Roman" w:hAnsi="Times New Roman"/>
        </w:rPr>
      </w:pPr>
    </w:p>
    <w:sectPr w:rsidR="00A530BA" w:rsidRPr="0017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22"/>
    <w:multiLevelType w:val="hybridMultilevel"/>
    <w:tmpl w:val="978C7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10FA8"/>
    <w:multiLevelType w:val="hybridMultilevel"/>
    <w:tmpl w:val="86EEF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2B68"/>
    <w:multiLevelType w:val="hybridMultilevel"/>
    <w:tmpl w:val="C66E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559B5"/>
    <w:multiLevelType w:val="hybridMultilevel"/>
    <w:tmpl w:val="7746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6FEE"/>
    <w:rsid w:val="000F0A25"/>
    <w:rsid w:val="00176A03"/>
    <w:rsid w:val="00374EEF"/>
    <w:rsid w:val="003A5350"/>
    <w:rsid w:val="004A6AF1"/>
    <w:rsid w:val="006E6962"/>
    <w:rsid w:val="00783FB9"/>
    <w:rsid w:val="00A27238"/>
    <w:rsid w:val="00A32C0F"/>
    <w:rsid w:val="00A530BA"/>
    <w:rsid w:val="00AB26E8"/>
    <w:rsid w:val="00AE3CEC"/>
    <w:rsid w:val="00AF2718"/>
    <w:rsid w:val="00C0576A"/>
    <w:rsid w:val="00CD3483"/>
    <w:rsid w:val="00E8545F"/>
    <w:rsid w:val="00E8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AFD22207-73D0-4789-9459-5A5F6A87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K7</dc:creator>
  <cp:keywords/>
  <cp:lastModifiedBy>precious orogbu</cp:lastModifiedBy>
  <cp:revision>2</cp:revision>
  <dcterms:created xsi:type="dcterms:W3CDTF">2020-04-29T23:14:00Z</dcterms:created>
  <dcterms:modified xsi:type="dcterms:W3CDTF">2020-04-29T23:14:00Z</dcterms:modified>
</cp:coreProperties>
</file>