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NAME: Ibezim Emily Chika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MATRIC NUMBER: 17/mhs01/143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COLEEGE: Medicine and Health Sciences 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DEPARTMENT: Medicine and Surgery 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COURSE TITLE: Gross Anatomy of the Head and Neck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COURSE CODE: ANA 301</w:t>
      </w:r>
    </w:p>
    <w:p>
      <w:pPr>
        <w:spacing w:lineRule="auto" w:line="259"/>
        <w:rPr>
          <w:color w:val="auto"/>
          <w:sz w:val="24"/>
          <w:szCs w:val="24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4"/>
          <w:szCs w:val="24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4"/>
          <w:szCs w:val="24"/>
          <w:u w:val="single"/>
          <w:rFonts w:ascii="NanumGothic" w:eastAsia="NanumGothic" w:hAnsi="NanumGothic" w:cs="NanumGothic"/>
        </w:rPr>
        <w:t>QUESTION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1. Write an essay on the cavernous sinus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2. Discuss the walls of the nose.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4"/>
          <w:szCs w:val="24"/>
          <w:u w:val="single"/>
          <w:rFonts w:ascii="NanumGothic" w:eastAsia="NanumGothic" w:hAnsi="NanumGothic" w:cs="NanumGothic"/>
        </w:rPr>
        <w:t>SOLUTION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1. THE CAVERNOUS SINUS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cavernous sinus is a paired dural venous sinus located within the cranial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cavity. It is divided by septa into small ‘caves’ – from which it gets its name. It is a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large channel of venous blood creating a "sinus" cavity bordered by the sphenoid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bone and the temporal bone of the skull. 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However, the cavernous sinus is more than just a compartment filled with venous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blood; in fact, it is a complex neurovascular structure in which fibrous and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adipose tissues fill the space.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Each cavernous sinus has a close anatomical relationship with several key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structures in the head, and is arguably the most clinically important venous sinus.</w:t>
      </w:r>
    </w:p>
    <w:p>
      <w:pPr>
        <w:spacing w:lineRule="auto" w:line="259"/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  <w:t xml:space="preserve">Anatomical Location and Borders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cavernous sinuses are located within the middle cranial fossa, on either side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of the sella turcica of the sphenoid bone (which contains the pituitary gland).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They are enclosed by the endosteal and meningeal layers of the dura mater.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borders of the cavernous sinus are as follows: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Anterior – superior orbital fissure.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Posterior – petrous part of the temporal bone.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Medial – body of the sphenoid bone.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Lateral – meningeal layer of the dura mater running from the roof to the floor of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middle cranial fossa.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Roof – meningeal layer of the dura mater that attaches to the anterior and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middle clinoid processes of the sphenoid bone.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Floor – endosteal layer of dura mater that overlies the base of the greater wing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of the sphenoid bone.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3415" cy="34112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E2972AE2-D881-4A6D-8013-14F4E1F4DE8F/tmp/_d/fImage12475010587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18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Coronal section demonstrating the borders of the right cavernous sinus.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  <w:t>Contents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Several important structures pass through the cavernous sinus to enter the orbit.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can be sub-classified by whether they travel through the sinus itself, or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through its lateral wall:</w:t>
      </w:r>
    </w:p>
    <w:tbl>
      <w:tblID w:val="0"/>
      <w:tblPr>
        <w:tblStyle w:val="PO66"/>
        <w:tblCellMar>
          <w:left w:w="108" w:type="dxa"/>
          <w:top w:w="0" w:type="dxa"/>
          <w:right w:w="108" w:type="dxa"/>
          <w:bottom w:w="0" w:type="dxa"/>
        </w:tblCellMar>
        <w:tblW w:w="9026" w:type="dxa"/>
        <w:tblLook w:val="0004A0" w:firstRow="1" w:lastRow="0" w:firstColumn="1" w:lastColumn="0" w:noHBand="0" w:noVBand="1"/>
        <w:tblLayout w:type="fixed"/>
      </w:tblPr>
      <w:tblGrid>
        <w:gridCol w:w="4513"/>
        <w:gridCol w:w="451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Travels through cavernous sinus</w:t>
            </w:r>
          </w:p>
        </w:tc>
        <w:tc>
          <w:tcPr>
            <w:tcW w:type="dxa" w:w="4513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Travels through lateral wall of </w:t>
            </w: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cavernous sinus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spacing w:lineRule="auto" w:line="240" w:after="0"/>
              <w:ind w:left="0" w:right="0" w:firstLine="0"/>
              <w:rPr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Abducens nerve (CN VI)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  <w:t xml:space="preserve">Oculomotor nerve (CN III)</w:t>
            </w:r>
          </w:p>
        </w:tc>
      </w:tr>
      <w:tr>
        <w:trPr>
          <w:hidden w:val="0"/>
        </w:trPr>
        <w:tc>
          <w:tcPr>
            <w:tcW w:type="dxa" w:w="451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spacing w:lineRule="auto" w:line="240" w:after="0"/>
              <w:ind w:left="0" w:right="0" w:firstLine="0"/>
              <w:rPr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Carotid plexus (post-ganglionic </w:t>
            </w: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sympathetic nerve fibres)</w:t>
            </w:r>
          </w:p>
        </w:tc>
        <w:tc>
          <w:tcPr>
            <w:tcW w:type="dxa" w:w="4513"/>
            <w:vAlign w:val="top"/>
          </w:tcPr>
          <w:p>
            <w:pPr>
              <w:spacing w:lineRule="auto" w:line="240" w:after="0"/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  <w:t xml:space="preserve">Trochlear nerve (CN IV)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sz w:val="24"/>
                <w:szCs w:val="24"/>
                <w:rFonts w:ascii="NanumGothic" w:eastAsia="NanumGothic" w:hAnsi="NanumGothic" w:cs="NanumGothic"/>
              </w:rPr>
              <w:t xml:space="preserve">Internal carotid artery (cavernous </w:t>
            </w:r>
            <w:r>
              <w:rPr>
                <w:sz w:val="24"/>
                <w:szCs w:val="24"/>
                <w:rFonts w:ascii="NanumGothic" w:eastAsia="NanumGothic" w:hAnsi="NanumGothic" w:cs="NanumGothic"/>
              </w:rPr>
              <w:t>portion)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</w:pPr>
            <w:r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  <w:t xml:space="preserve">Ophthalmic (V1) and maxillary (V2) </w:t>
            </w:r>
            <w:r>
              <w:rPr>
                <w:b w:val="1"/>
                <w:sz w:val="24"/>
                <w:szCs w:val="24"/>
                <w:rFonts w:ascii="NanumGothic" w:eastAsia="NanumGothic" w:hAnsi="NanumGothic" w:cs="NanumGothic"/>
              </w:rPr>
              <w:t xml:space="preserve">branches of the trigeminal nerve</w:t>
            </w:r>
          </w:p>
        </w:tc>
      </w:tr>
    </w:tbl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cavernous sinus is the only site in the body where an artery (internal carotid)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passes completely through a venous structure. This is thought to allow for heat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exchange between the warm arterial blood and cooler venous circulation.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3415" cy="296735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E2972AE2-D881-4A6D-8013-14F4E1F4DE8F/tmp/_d/fImage1214111690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679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 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Coronal section demonstrating the contents of the right cavernous sinus.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Dural Venous Sinus System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Each cavernous sinus receives venous drainage from:</w:t>
      </w:r>
    </w:p>
    <w:p>
      <w:pPr>
        <w:numPr>
          <w:ilvl w:val="0"/>
          <w:numId w:val="2"/>
        </w:num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Ophthalmic veins (superior and inferior) – these enter the cavernous sinus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via the superior orbital fissure.</w:t>
      </w:r>
    </w:p>
    <w:p>
      <w:pPr>
        <w:numPr>
          <w:ilvl w:val="0"/>
          <w:numId w:val="2"/>
        </w:num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Central vein of the retina – drains into the superior ophthalmic vein, or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directly into the cavernous sinus.</w:t>
      </w:r>
    </w:p>
    <w:p>
      <w:pPr>
        <w:numPr>
          <w:ilvl w:val="0"/>
          <w:numId w:val="2"/>
        </w:num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Sphenoparietal sinus – empties into the anterior aspect of the cavernous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>sinus.</w:t>
      </w:r>
    </w:p>
    <w:p>
      <w:pPr>
        <w:numPr>
          <w:ilvl w:val="0"/>
          <w:numId w:val="2"/>
        </w:num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Superficial middle cerebral vein – contributes to the venous drainage of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cerebrum</w:t>
      </w:r>
    </w:p>
    <w:p>
      <w:pPr>
        <w:numPr>
          <w:ilvl w:val="0"/>
          <w:numId w:val="2"/>
        </w:num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Pterygoid plexus – located within the infratemporal fossa.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It is important to note that the superior ophthalmic vein forms an anastomosis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with the facial vein. Therefore, the ophthalmic veins represent a potential route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by which infection can spread from an extracranial to an intracranial site.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cavernous sinuses empty into the superior and inferior petrosal sinuses, and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ultimately, into the internal jugular vein. The left and right cavernous sinuses are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connected in the midline by the anterior and posterior intercavernous sinuses.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They travel through the sella turcica of the sphenoid bone.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3415" cy="484505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E2972AE2-D881-4A6D-8013-14F4E1F4DE8F/tmp/_d/fImage35064054107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456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(The diagram above shows a Schematic of the dural venous system relating to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cavernous sinus also showing the anastomosis between the ophthalmic veins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and the facial vein).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single"/>
          <w:rFonts w:ascii="NanumGothic" w:eastAsia="NanumGothic" w:hAnsi="NanumGothic" w:cs="NanumGothic"/>
        </w:rPr>
        <w:t xml:space="preserve">Clinical Significance - Cavernous Sinus Thrombosis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Cavernous sinus thrombosis (CST) refers to the formation of a clot within the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cavernous sinus.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This most common cause of CST is infection; which typically spreads from an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extracranial location such as the orbit, paranasal sinuses, or the ‘danger zone’ of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the face. Infection is able to spread in this manner due to the anastomosis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between the facial vein and superior ophthalmic veins.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Common clinical features include headache, unilateral periorbital oedema,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proptosis (eye bulging), photophobia and cranial nerve palsies. The abducens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nerve (CN VI) is most commonly affected.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Treatment is typically with antibiotic therapy. Where the cause is infection, </w:t>
      </w:r>
      <w:r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thrombosis of the cavernous sinus can rapidly progress to meningitis.</w:t>
      </w: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4"/>
          <w:szCs w:val="24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2. WALLS OF THE NOSE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nose is an olfactory and respiratory organ. It consists of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(external nose)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nasal skeleton, which houses the nasal cavity.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nasal cavity is the most superior part of the respiratory tract.                 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NASAL CAVITY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5671185"/>
            <wp:effectExtent l="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var/mobile/Containers/Data/Application/E2972AE2-D881-4A6D-8013-14F4E1F4DE8F/tmp/_d/fImage5734412445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718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This cavity is divided into two separate cavities by the septum and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kept patent by a bone and cartilaginous framework. Each cavity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consists of a roof, floor, medial wall, and lateral wall. </w:t>
      </w: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MEDIAL WALL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medial wall of the nasal cavity comprises the nasal septum,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septal catilage and various bones of the skull.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Nasal Septum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septum partitions the nasal cavity into two equal but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separate compartments. Cartilage and bone comprise the nasal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septum. It is covered by squamous epithelium, which differs from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lateral walls of the nasal cavity. A portion of the anterior septum is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covered in erectile tissue. It also contributes to lateral projections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called the upper lateral cartilages, which makes up the middle third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nose. The bony segment of the septum is pneumatized, and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when it over expands, it has the potential to obstruct airflow. Below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are the components of the septum.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Quadrangular (septal) cartilage: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This is the most anterior portion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septum. It contains the Kiesselbach plexus.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>Attachments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•Superior: nasal bone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•Inferior: anterior nasal spine of the maxilla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•Posterior-Superior: perpendicular plate of the ethmoid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•Posterior-Inferior: vomer and maxillary crest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Perpendicular Plate of the Ethmoid: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This is a vertical projection from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cribriform plate of the ethmoid inferiorly to the septal cartilage.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>Vomer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: Located inferior and slightly posterior to the perpendicular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plate of the ethmoid. It is attached inferiorly to the nasal crest of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maxilla and palatine bone.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Nasal Crest of the Maxilla and Palatine Bone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: Together these bones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form the inferior support for the septal cartilage.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Anterior Nasal Spine of the Maxilla: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This is a bony projection formed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by the paired maxillary bones. It located anterior to the piriform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aperture and are palpable at the superior portion of the philtrum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upper lip.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219700" cy="5334000"/>
            <wp:effectExtent l="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var/mobile/Containers/Data/Application/E2972AE2-D881-4A6D-8013-14F4E1F4DE8F/tmp/_d/fImage3069481944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53346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showing medial wall of Nasal cavity.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Three cartilages contribute to the nasal septum: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lesser alar cartilages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are paired cartilages suspended in the fibro-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fatty tissue that forms the lateral aspect of the nostril. The structures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lie free from the other cartilages and provide the nostril with stability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and form.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greater alar cartilages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are paired cartilages that form part of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antero-superior nostril as well as the nasal tip. The structures give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tip of the nose stability and flexibility and are a crucial element of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cartilaginous apparatus of the nose.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Lateral nasal cartilages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are structures that articulate inferiorly with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greater alar cartilages and superiorly with the anterior nasal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aperture formed by both the nasal bone superiorly and for a short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part of its border with the perpendicular plate of the ethmoid bone.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These structures form the cartilaginous part of the bridge of the nose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and form in conjunction with the greater alar cartilages, the major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structural appearance of the nose.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Lateral Wall of the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lateral wall of the nose is complicated. It’s created by a number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bones and cartilages.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bones creating the lateral wall are: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•Nasal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•Frontal process of maxilla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•Lacrimal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•Conchae and maze of ethmoid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•Inferior nasal concha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•Perpendicular plate of palatine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•Medial pterygoid plate of sphenoid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cartilages creating the lateral wall are: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•Lateral nasal cartilage (upper nasal cartilage)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•Major alar cartilage (lower nasal cartilage)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•3 to 4 miniature cartilages of the alae (small alar cartilages)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Features: The lateral wall is split into the following 3 regions: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Anterior part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presents a small depressed area, the vestibule. It’s lined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by the skin including vibrissae (short, stiff curved hair).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Middle part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is called atrium of the middle meatus. Itis restricted above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by a faint ridge of mucous membrane, the agger nasi. The curved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mucocutaneous junction between the atrium and vestibule is called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limen nasi.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Posterior part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 presents 3 scroll-like projections, the conchae 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turbinates. The spaces dividing the conchae are referred to as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meatuses.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conchae and meatuses create the primary features of the lateral 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>wall: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Conchae (also named turbinates) are the curved bony projections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pointed downwards and medially. Below and lateral to every concha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is a corresponding meatus. From above downwards the conchae are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superior, middle and inferior nasal conchae. Occasionally a 4th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concha, the concha suprema is also present.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>Conchae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Superior and middle nasal conchae are the projections from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medial surface of the ethmoidal labyrinth.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Inferior concha is a separate bone.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superior concha is smallest and inferior concha is largest in size.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>Meatuses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Meatuses are the passages (recesses) below the overhanging conchae.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They’re visualized once conchae are removed.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Inferior meatus is the largest and is located underneath the inferior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nasal concha.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Middle meatus is located underneath the middle concha. It presents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subsequent features: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•Ethmoidal bulla (bulla ethmoidalis), a round elevation generated by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underlying middle ethmoidal sinuses.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•Hiatus semilunaris, a deep semicircular sulcus below the bulla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ethmoidalis.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•Infundibulum, a short passage in the anterior end of middle meatus.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•Superior meatus is the smallest and is located below the superior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concha.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 triangular depression, above and behind the superior concha is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called the sphenoethmoidal recess.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>Openings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: The lateral wall of the nose has number of openings.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openings in the lateral wall of the nose.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tbl>
      <w:tblID w:val="0"/>
      <w:tblPr>
        <w:tblStyle w:val="PO66"/>
        <w:tblW w:w="9026" w:type="dxa"/>
        <w:tblLook w:val="0004A0" w:firstRow="1" w:lastRow="0" w:firstColumn="1" w:lastColumn="0" w:noHBand="0" w:noVBand="1"/>
      </w:tblPr>
      <w:tblGrid>
        <w:gridCol w:w="4513"/>
        <w:gridCol w:w="451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  <w:t>SITES</w:t>
            </w:r>
          </w:p>
        </w:tc>
        <w:tc>
          <w:tcPr>
            <w:tcW w:type="dxa" w:w="4513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  <w:t>OPENINGS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Sphenoethmoidal recess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sphenoidal air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>sinus</w:t>
            </w:r>
          </w:p>
        </w:tc>
      </w:tr>
      <w:tr>
        <w:trPr>
          <w:hidden w:val="0"/>
        </w:trPr>
        <w:tc>
          <w:tcPr>
            <w:tcW w:type="dxa" w:w="451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Superior meatus</w:t>
            </w:r>
          </w:p>
        </w:tc>
        <w:tc>
          <w:tcPr>
            <w:tcW w:type="dxa" w:w="4513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posterior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ethmoidal air sinuses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  <w:t xml:space="preserve">MIDDLE MEATUS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</w:p>
        </w:tc>
      </w:tr>
      <w:tr>
        <w:trPr>
          <w:hidden w:val="0"/>
        </w:trPr>
        <w:tc>
          <w:tcPr>
            <w:tcW w:type="dxa" w:w="451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On bulla</w:t>
            </w:r>
          </w:p>
        </w:tc>
        <w:tc>
          <w:tcPr>
            <w:tcW w:type="dxa" w:w="4513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middle ethmoidal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air sinuses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b w:val="1"/>
                <w:sz w:val="28"/>
                <w:szCs w:val="28"/>
                <w:rFonts w:ascii="NanumGothic" w:eastAsia="NanumGothic" w:hAnsi="NanumGothic" w:cs="NanumGothic"/>
              </w:rPr>
              <w:t xml:space="preserve">In hiatus semilunaris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</w:p>
        </w:tc>
      </w:tr>
      <w:tr>
        <w:trPr>
          <w:hidden w:val="0"/>
        </w:trPr>
        <w:tc>
          <w:tcPr>
            <w:tcW w:type="dxa" w:w="451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Anterior part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ab/>
            </w:r>
          </w:p>
        </w:tc>
        <w:tc>
          <w:tcPr>
            <w:tcW w:type="dxa" w:w="4513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ab/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frontal air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>sinus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Middle part</w:t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anterior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ethmoidal air sinuses</w:t>
            </w:r>
          </w:p>
        </w:tc>
      </w:tr>
      <w:tr>
        <w:trPr>
          <w:hidden w:val="0"/>
        </w:trPr>
        <w:tc>
          <w:tcPr>
            <w:tcW w:type="dxa" w:w="451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Posterior part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ab/>
            </w:r>
          </w:p>
        </w:tc>
        <w:tc>
          <w:tcPr>
            <w:tcW w:type="dxa" w:w="4513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maxillary air sinus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4513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Inferior meatus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ab/>
            </w:r>
          </w:p>
        </w:tc>
        <w:tc>
          <w:tcPr>
            <w:tcW w:type="dxa" w:w="4513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spacing w:lineRule="auto" w:line="240" w:after="0"/>
              <w:rPr>
                <w:sz w:val="28"/>
                <w:szCs w:val="28"/>
                <w:rFonts w:ascii="NanumGothic" w:eastAsia="NanumGothic" w:hAnsi="NanumGothic" w:cs="NanumGothic"/>
              </w:rPr>
            </w:pP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Opening of the nasolacrimal duct </w:t>
            </w:r>
            <w:r>
              <w:rPr>
                <w:sz w:val="28"/>
                <w:szCs w:val="28"/>
                <w:rFonts w:ascii="NanumGothic" w:eastAsia="NanumGothic" w:hAnsi="NanumGothic" w:cs="NanumGothic"/>
              </w:rPr>
              <w:t xml:space="preserve">(in the anterior part of meatus)</w:t>
            </w:r>
          </w:p>
        </w:tc>
      </w:tr>
    </w:tbl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3484880"/>
            <wp:effectExtent l="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var/mobile/Containers/Data/Application/E2972AE2-D881-4A6D-8013-14F4E1F4DE8F/tmp/_d/fImage3347082782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55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of the Nasal Cavity showing the 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Lateral Wall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ARTERIAL SUPPLY OF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cavity has abundant arterial supply.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5410200"/>
            <wp:effectExtent l="0" t="0" r="0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var/mobile/Containers/Data/Application/E2972AE2-D881-4A6D-8013-14F4E1F4DE8F/tmp/_d/fImage4853613839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108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of the Nasal Cavity showing the arterial supply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ARTERIAL SUPPLY OF NASAL SEPTUM</w:t>
      </w: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5231130"/>
            <wp:effectExtent l="0" t="0" r="0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var/mobile/Containers/Data/Application/E2972AE2-D881-4A6D-8013-14F4E1F4DE8F/tmp/_d/fImage4368004024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317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septum is supplied by these arteries: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•Septal branch of the anterior ethmoidal artery (a branch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ophthalmic artery).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•Septal branch of the posterior ethmoidal artery (a branch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ophthalmic artery).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•Septal branch of the sphenopalatine artery (a branch of maxillary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artery).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•Septal branch of the greater palatine artery (a branch of maxillary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artery).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•Septal branch of the superior labial artery (a branch of facial artery)</w:t>
      </w: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CLINICAL SIGNIFICANCE</w:t>
      </w:r>
    </w:p>
    <w:p>
      <w:pPr>
        <w:numPr>
          <w:ilvl w:val="0"/>
          <w:numId w:val="3"/>
        </w:num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LITTLE’S AREA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It’s an area in the anteroinferior part of the nasal septum just above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vestibule. It’s highly vascular. Here the septal branches of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anterior ethmoidal sphenopalatine, greater palatine and superior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labial arteries anastomose to create a vascular plexus referred to as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Kiesselbach’s plexus. This area of nasal septum is the commonest site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of epistaxis (nose bleeding) in kids and young adults generally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because of finger nail trauma following deciding of the nose.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ARTERIAL SUPPLY OF LATERAL WALL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arterial supply of the different parts of the lateral wall is as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follows: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•Anterosuperior quadrant, by the anterior ethmoidal artery, a branch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of ophthalmic artery.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•Anteroinferior quadrant, by branches of facial and greater palatine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arteries.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•Posterosuperior quadrant, by sphenopalatine artery, a branch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maxillary artery.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•Posteroinferior quadrant, by branches of greater palatine artery,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which pierces the perpendicular plate of palatine.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3074670"/>
            <wp:effectExtent l="0" t="0" r="0" b="0"/>
            <wp:docPr id="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var/mobile/Containers/Data/Application/E2972AE2-D881-4A6D-8013-14F4E1F4DE8F/tmp/_d/fImage15824055269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53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sowing the arterial supply to the lateral wall of the Nasal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cavity.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VENOUS DRAINAGE OF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veins draining the nasal cavity create plexus below the mucosa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and in general follow the arteries. The veins of nasal cavity drain into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facial vein, pterygoid venous plexus and pharyngeal venous plexus.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submucous venous plexus is more marked in the region of little’s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area.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retrocolumellar vein runs vertically downwards, crosses the floor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of nasal cavity to join the venous plexus on the lateral wall. This is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common site of venous bleeding in young people.</w:t>
      </w: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7042785"/>
            <wp:effectExtent l="0" t="0" r="0" b="0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var/mobile/Containers/Data/Application/E2972AE2-D881-4A6D-8013-14F4E1F4DE8F/tmp/_d/fImage5769615638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0434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showing the venous drainage of the Nasal cavity.</w:t>
      </w: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LYMPHATIC DRAINAGE OF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Lymph from anterior half of nasal cavity (both medial and lateral walls)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is emptied into submandibular lymph nodes and from posterior half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into retropharyngeal lymph nodes.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619750" cy="7620000"/>
            <wp:effectExtent l="0" t="0" r="0" b="0"/>
            <wp:docPr id="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var/mobile/Containers/Data/Application/E2972AE2-D881-4A6D-8013-14F4E1F4DE8F/tmp/_d/fImage6271286696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7620634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NERVE SUPPLY OF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cavity is supplied by the following nerves: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•Olfactory nerves: They carry sense of smell from olfactory region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nasal cavity.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•Nerves of general sense. These are:</w:t>
      </w:r>
    </w:p>
    <w:p>
      <w:pPr>
        <w:numPr>
          <w:ilvl w:val="0"/>
          <w:numId w:val="4"/>
        </w:num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anterior ethmoidal nerve,</w:t>
      </w:r>
    </w:p>
    <w:p>
      <w:pPr>
        <w:numPr>
          <w:ilvl w:val="0"/>
          <w:numId w:val="4"/>
        </w:num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branches of sphenopalatine ganglion and</w:t>
      </w:r>
    </w:p>
    <w:p>
      <w:pPr>
        <w:numPr>
          <w:ilvl w:val="0"/>
          <w:numId w:val="4"/>
        </w:num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branches of infraorbital nerve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They carry sensations of pain, feel and temperature from respiratory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region and vestibule of nasal cavity.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•Autonomic nerves: Both parasympathetic andsympathetic fibres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furnishing nasal cavity are originated from Vidian’s nerve (nerve of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pterygoid canal) via pterygopalatine ganglion.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parasympathetic fibres supply nasal glands and restrain nasal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secretion.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sympathetic fibres, on stimulation, cause vasoconstriction.</w:t>
      </w:r>
    </w:p>
    <w:p>
      <w:pPr>
        <w:spacing w:lineRule="auto" w:line="259"/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CLINICAL SIGNIFICANCE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>RHINITIS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It’s the inflammation of mucus membrane lining the nasal cavity.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hypertrophy of mucosa over inferior concha is a familiar characteristic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of allergic rhinitis. Medically it presents as: nasal blockage, sneezing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and water discharge from nose (rhinorrhea).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excessive rhinorrhea on account of vasomotor and allergic rhinitis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can be restrained by sectioning the Vidian nerve.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NERVE SUPPLY OF NASAL SEPTUM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7553324"/>
            <wp:effectExtent l="0" t="0" r="0" b="0"/>
            <wp:docPr id="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var/mobile/Containers/Data/Application/E2972AE2-D881-4A6D-8013-14F4E1F4DE8F/tmp/_d/fImage5127086883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39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showing the nerve supply to Nasal septum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septum gets supply from the following nerves: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•Olfactory nerves-supply the upper part (one-third) just below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cribriform plate.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•Internal nasal branch of the anterior ethmoidal nerve, a branch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from nasociliary-supplies the anterosuperior part.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•Nasopalatine nerve, a branch of pterygopalatine ganglion-supplies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posteroinferior part.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•Medial posterior superior nasal branches of pterygopalatine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ganglion-supply the posterosuperior part.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•Nasal branch of greater palatine nerve-supplies the posterior part.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•Anterior superior alveolar nerve, a branch of maxillary nerve-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supplies the anteroinferior part.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NERVE SUPPLY OF LATERAL WALL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following nerves supply the different partsof the lateral wall: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•Olfactory nerves-supply the upper part (one-third) just below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cribriform plate of ethmoid up to the superior concha.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•Anterior ethmoidal nerve (from ophthalmic)-supplies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anterosuperior quadrant.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•Anterior superior alveolar nerve, a branch of infraorbital nerve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(from maxillary)-supplies the anteroinferior quadrant.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•Posterior superior lateral branches, of pterygopalatine ganglion-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supply posterosuperior quadrant.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•Nasal branches of greater palatine nerve, (from pterygopalatine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ganglion)-supply posteroinferior quadrant.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5410200"/>
            <wp:effectExtent l="0" t="0" r="0" b="0"/>
            <wp:docPr id="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var/mobile/Containers/Data/Application/E2972AE2-D881-4A6D-8013-14F4E1F4DE8F/tmp/_d/fImage5291559758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108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showing nerve supply to lateral wall of Nasal cavity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single"/>
          <w:rFonts w:ascii="NanumGothic" w:eastAsia="NanumGothic" w:hAnsi="NanumGothic" w:cs="NanumGothic"/>
        </w:rPr>
        <w:t xml:space="preserve">CLINICAL SIGNIFICANCE</w:t>
      </w:r>
    </w:p>
    <w:p>
      <w:pPr>
        <w:spacing w:lineRule="auto" w:line="259"/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•EVALUATION OF THE NASAL CAVITY (RHINOSCOPY)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The nasal cavity can be analyzed in the living individual either via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nostril (anterior rhinoscopy) or via the pharynx (posterior rhinoscopy).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sz w:val="20"/>
        </w:rPr>
        <w:drawing>
          <wp:inline distT="0" distB="0" distL="0" distR="0">
            <wp:extent cx="5731510" cy="2962275"/>
            <wp:effectExtent l="0" t="0" r="0" b="0"/>
            <wp:docPr id="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var/mobile/Containers/Data/Application/E2972AE2-D881-4A6D-8013-14F4E1F4DE8F/tmp/_d/fImage18069198304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29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Diagram showing Rhinoscopy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Anterior rhinoscopy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: It’s performed by fitting a nasal speculum via a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nostril. These features are visualized by this approach: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•Middle and inferior conchae.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•Superior middle and inferior meatuses.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•Nasal septum.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•Floor of the nasal cavity.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1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Posterior Rhinoscopy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: It’s performed by adding a mirror into the </w:t>
      </w: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pharyx. These features can be visualized by this procedure: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•Choanae.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>•Conchae.</w:t>
      </w:r>
    </w:p>
    <w:p>
      <w:pPr>
        <w:spacing w:lineRule="auto" w:line="259"/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</w:pPr>
      <w:r>
        <w:rPr>
          <w:b w:val="0"/>
          <w:color w:val="auto"/>
          <w:sz w:val="28"/>
          <w:szCs w:val="28"/>
          <w:u w:val="none"/>
          <w:rFonts w:ascii="NanumGothic" w:eastAsia="NanumGothic" w:hAnsi="NanumGothic" w:cs="NanumGothic"/>
        </w:rPr>
        <w:t xml:space="preserve">•Posterior border of the nasal septum.</w:t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footerReference w:type="default" r:id="rId19"/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jc w:val="both"/>
      <w:spacing w:lineRule="auto" w:line="259" w:after="0"/>
      <w:rPr>
        <w:color w:val="auto"/>
        <w:sz w:val="22"/>
        <w:szCs w:val="22"/>
        <w:rFonts w:ascii="NanumGothic" w:eastAsia="NanumGothic" w:hAnsi="NanumGothic" w:cs="NanumGothic"/>
      </w:rPr>
      <w:autoSpaceDE w:val="0"/>
      <w:autoSpaceDN w:val="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52620CB4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1">
    <w:multiLevelType w:val="hybridMultilevel"/>
    <w:nsid w:val="2F000001"/>
    <w:tmpl w:val="4930389A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2">
    <w:multiLevelType w:val="hybridMultilevel"/>
    <w:nsid w:val="2F000002"/>
    <w:tmpl w:val="22D41C19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3">
    <w:multiLevelType w:val="hybridMultilevel"/>
    <w:nsid w:val="2F000003"/>
    <w:tmpl w:val="3980D019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qFormat/>
    <w:uiPriority w:val="1"/>
    <w:pPr>
      <w:jc w:val="both"/>
      <w:spacing w:lineRule="auto" w:line="259"/>
      <w:rPr/>
      <w:autoSpaceDE w:val="0"/>
      <w:autoSpaceDN w:val="0"/>
    </w:pPr>
    <w:rPr>
      <w:color w:val="auto"/>
      <w:sz w:val="22"/>
      <w:szCs w:val="22"/>
      <w:rFonts w:ascii="NanumGothic" w:eastAsia="NanumGothic" w:hAnsi="NanumGothic" w:cs="NanumGothic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37" w:type="table">
    <w:name w:val="Table Grid"/>
    <w:basedOn w:val="PO3"/>
    <w:uiPriority w:val="37"/>
    <w:pPr>
      <w:spacing w:lineRule="auto" w:line="240" w:after="0"/>
      <w:rPr/>
    </w:pPr>
    <w:rPr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38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39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EBEBE" w:themeColor="background1" w:themeShade="BE" w:sz="4"/>
        </w:tcBorders>
      </w:tcPr>
    </w:tblStylePr>
  </w:style>
  <w:style w:styleId="PO40" w:type="table">
    <w:name w:val="Plain Table 2"/>
    <w:basedOn w:val="PO3"/>
    <w:uiPriority w:val="40"/>
    <w:pPr>
      <w:spacing w:lineRule="auto" w:line="240" w:after="0"/>
      <w:rPr/>
    </w:pPr>
    <w:rPr/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808080" w:themeColor="text1" w:themeTint="7F" w:sz="4"/>
        </w:tcBorders>
      </w:tcPr>
    </w:tblStylePr>
  </w:style>
  <w:style w:styleId="PO41" w:type="table">
    <w:name w:val="Plain Table 3"/>
    <w:basedOn w:val="PO3"/>
    <w:uiPriority w:val="41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caps w:val="1"/>
      </w:rPr>
      <w:tcPr>
        <w:tcBorders>
          <w:right w:val="single" w:color="808080" w:themeColor="text1" w:themeTint="7F" w:sz="4"/>
        </w:tcBorders>
      </w:tcPr>
    </w:tblStylePr>
    <w:tblStylePr w:type="firstRow">
      <w:rPr>
        <w:b w:val="1"/>
        <w:caps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caps w:val="1"/>
      </w:rPr>
      <w:tcPr>
        <w:tcBorders>
          <w:left w:val="nil"/>
        </w:tcBorders>
      </w:tcPr>
    </w:tblStylePr>
    <w:tblStylePr w:type="lastRow">
      <w:rPr>
        <w:b w:val="1"/>
        <w:caps w:val="1"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4"/>
    <w:pPr>
      <w:spacing w:lineRule="auto" w:line="240" w:after="0"/>
      <w:rPr/>
    </w:pPr>
    <w:rPr/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5"/>
    <w:pPr>
      <w:spacing w:lineRule="auto" w:line="240" w:after="0"/>
      <w:rPr/>
    </w:pPr>
    <w:rPr/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DC3E6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spacing w:lineRule="auto" w:line="240" w:after="0"/>
      <w:rPr/>
    </w:pPr>
    <w:rPr/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4B183" w:themeColor="accent2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4B183" w:themeColor="accent2" w:themeTint="99" w:sz="2"/>
        </w:tcBorders>
      </w:tcPr>
    </w:tblStylePr>
  </w:style>
  <w:style w:styleId="PO47" w:type="table">
    <w:name w:val="Grid Table 1 Light Accent 3"/>
    <w:basedOn w:val="PO3"/>
    <w:uiPriority w:val="47"/>
    <w:pPr>
      <w:spacing w:lineRule="auto" w:line="240" w:after="0"/>
      <w:rPr/>
    </w:pPr>
    <w:rPr/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9C9C9" w:themeColor="accent3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9C9C9" w:themeColor="accent3" w:themeTint="99" w:sz="2"/>
        </w:tcBorders>
      </w:tcPr>
    </w:tblStylePr>
  </w:style>
  <w:style w:styleId="PO48" w:type="table">
    <w:name w:val="Grid Table 1 Light Accent 4"/>
    <w:basedOn w:val="PO3"/>
    <w:uiPriority w:val="48"/>
    <w:pPr>
      <w:spacing w:lineRule="auto" w:line="240" w:after="0"/>
      <w:rPr/>
    </w:pPr>
    <w:rPr/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FD966" w:themeColor="accent4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FD966" w:themeColor="accent4" w:themeTint="99" w:sz="2"/>
        </w:tcBorders>
      </w:tcPr>
    </w:tblStylePr>
  </w:style>
  <w:style w:styleId="PO51" w:type="table">
    <w:name w:val="Grid Table 2"/>
    <w:basedOn w:val="PO3"/>
    <w:uiPriority w:val="51"/>
    <w:pPr>
      <w:spacing w:lineRule="auto" w:line="240" w:after="0"/>
      <w:rPr/>
    </w:pPr>
    <w:rPr/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52"/>
    <w:pPr>
      <w:spacing w:lineRule="auto" w:line="240" w:after="0"/>
      <w:rPr/>
    </w:pPr>
    <w:rPr/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DC3E6" w:themeColor="accent1" w:themeTint="99" w:sz="2"/>
        </w:tcBorders>
      </w:tcPr>
    </w:tblStylePr>
  </w:style>
  <w:style w:styleId="PO53" w:type="table">
    <w:name w:val="Grid Table 2 Accent 2"/>
    <w:basedOn w:val="PO3"/>
    <w:uiPriority w:val="53"/>
    <w:pPr>
      <w:spacing w:lineRule="auto" w:line="240" w:after="0"/>
      <w:rPr/>
    </w:pPr>
    <w:rPr/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4B183" w:themeColor="accent2" w:themeTint="99" w:sz="2"/>
        </w:tcBorders>
      </w:tcPr>
    </w:tblStylePr>
  </w:style>
  <w:style w:styleId="PO54" w:type="table">
    <w:name w:val="Grid Table 2 Accent 3"/>
    <w:basedOn w:val="PO3"/>
    <w:uiPriority w:val="54"/>
    <w:pPr>
      <w:spacing w:lineRule="auto" w:line="240" w:after="0"/>
      <w:rPr/>
    </w:pPr>
    <w:rPr/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C9C9C9" w:themeColor="accent3" w:themeTint="99" w:sz="2"/>
        </w:tcBorders>
      </w:tcPr>
    </w:tblStylePr>
  </w:style>
  <w:style w:styleId="PO55" w:type="table">
    <w:name w:val="Grid Table 2 Accent 4"/>
    <w:basedOn w:val="PO3"/>
    <w:uiPriority w:val="55"/>
    <w:pPr>
      <w:spacing w:lineRule="auto" w:line="240" w:after="0"/>
      <w:rPr/>
    </w:pPr>
    <w:rPr/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FD966" w:themeColor="accent4" w:themeTint="99" w:sz="2"/>
        </w:tcBorders>
      </w:tcPr>
    </w:tblStylePr>
  </w:style>
  <w:style w:styleId="PO58" w:type="table">
    <w:name w:val="Grid Table 3"/>
    <w:basedOn w:val="PO3"/>
    <w:uiPriority w:val="58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59"/>
    <w:pPr>
      <w:spacing w:lineRule="auto" w:line="240" w:after="0"/>
      <w:rPr/>
    </w:pPr>
    <w:rPr/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DC3E6" w:themeColor="accent1" w:themeTint="99" w:sz="4"/>
        </w:tcBorders>
      </w:tcPr>
    </w:tblStylePr>
    <w:tblStylePr w:type="nwCell">
      <w:tcPr>
        <w:tcBorders>
          <w:bottom w:val="single" w:color="9DC3E6" w:themeColor="accent1" w:themeTint="99" w:sz="4"/>
        </w:tcBorders>
      </w:tcPr>
    </w:tblStylePr>
    <w:tblStylePr w:type="seCell">
      <w:tcPr>
        <w:tcBorders>
          <w:top w:val="single" w:color="9DC3E6" w:themeColor="accent1" w:themeTint="99" w:sz="4"/>
        </w:tcBorders>
      </w:tcPr>
    </w:tblStylePr>
    <w:tblStylePr w:type="swCell">
      <w:tcPr>
        <w:tcBorders>
          <w:top w:val="single" w:color="9DC3E6" w:themeColor="accent1" w:themeTint="99" w:sz="4"/>
        </w:tcBorders>
      </w:tcPr>
    </w:tblStylePr>
  </w:style>
  <w:style w:styleId="PO60" w:type="table">
    <w:name w:val="Grid Table 3 Accent 2"/>
    <w:basedOn w:val="PO3"/>
    <w:uiPriority w:val="60"/>
    <w:pPr>
      <w:spacing w:lineRule="auto" w:line="240" w:after="0"/>
      <w:rPr/>
    </w:pPr>
    <w:rPr/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4B183" w:themeColor="accent2" w:themeTint="99" w:sz="4"/>
        </w:tcBorders>
      </w:tcPr>
    </w:tblStylePr>
    <w:tblStylePr w:type="nwCell">
      <w:tcPr>
        <w:tcBorders>
          <w:bottom w:val="single" w:color="F4B183" w:themeColor="accent2" w:themeTint="99" w:sz="4"/>
        </w:tcBorders>
      </w:tcPr>
    </w:tblStylePr>
    <w:tblStylePr w:type="seCell">
      <w:tcPr>
        <w:tcBorders>
          <w:top w:val="single" w:color="F4B183" w:themeColor="accent2" w:themeTint="99" w:sz="4"/>
        </w:tcBorders>
      </w:tcPr>
    </w:tblStylePr>
    <w:tblStylePr w:type="swCell">
      <w:tcPr>
        <w:tcBorders>
          <w:top w:val="single" w:color="F4B183" w:themeColor="accent2" w:themeTint="99" w:sz="4"/>
        </w:tcBorders>
      </w:tcPr>
    </w:tblStylePr>
  </w:style>
  <w:style w:styleId="PO61" w:type="table">
    <w:name w:val="Grid Table 3 Accent 3"/>
    <w:basedOn w:val="PO3"/>
    <w:uiPriority w:val="61"/>
    <w:pPr>
      <w:spacing w:lineRule="auto" w:line="240" w:after="0"/>
      <w:rPr/>
    </w:pPr>
    <w:rPr/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9C9C9" w:themeColor="accent3" w:themeTint="99" w:sz="4"/>
        </w:tcBorders>
      </w:tcPr>
    </w:tblStylePr>
    <w:tblStylePr w:type="nwCell">
      <w:tcPr>
        <w:tcBorders>
          <w:bottom w:val="single" w:color="C9C9C9" w:themeColor="accent3" w:themeTint="99" w:sz="4"/>
        </w:tcBorders>
      </w:tcPr>
    </w:tblStylePr>
    <w:tblStylePr w:type="seCell">
      <w:tcPr>
        <w:tcBorders>
          <w:top w:val="single" w:color="C9C9C9" w:themeColor="accent3" w:themeTint="99" w:sz="4"/>
        </w:tcBorders>
      </w:tcPr>
    </w:tblStylePr>
    <w:tblStylePr w:type="swCell">
      <w:tcPr>
        <w:tcBorders>
          <w:top w:val="single" w:color="C9C9C9" w:themeColor="accent3" w:themeTint="99" w:sz="4"/>
        </w:tcBorders>
      </w:tcPr>
    </w:tblStylePr>
  </w:style>
  <w:style w:styleId="PO62" w:type="table">
    <w:name w:val="Grid Table 3 Accent 4"/>
    <w:basedOn w:val="PO3"/>
    <w:uiPriority w:val="62"/>
    <w:pPr>
      <w:spacing w:lineRule="auto" w:line="240" w:after="0"/>
      <w:rPr/>
    </w:pPr>
    <w:rPr/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FD966" w:themeColor="accent4" w:themeTint="99" w:sz="4"/>
        </w:tcBorders>
      </w:tcPr>
    </w:tblStylePr>
    <w:tblStylePr w:type="nwCell">
      <w:tcPr>
        <w:tcBorders>
          <w:bottom w:val="single" w:color="FFD966" w:themeColor="accent4" w:themeTint="99" w:sz="4"/>
        </w:tcBorders>
      </w:tcPr>
    </w:tblStylePr>
    <w:tblStylePr w:type="seCell">
      <w:tcPr>
        <w:tcBorders>
          <w:top w:val="single" w:color="FFD966" w:themeColor="accent4" w:themeTint="99" w:sz="4"/>
        </w:tcBorders>
      </w:tcPr>
    </w:tblStylePr>
    <w:tblStylePr w:type="swCell">
      <w:tcPr>
        <w:tcBorders>
          <w:top w:val="single" w:color="FFD966" w:themeColor="accent4" w:themeTint="99" w:sz="4"/>
        </w:tcBorders>
      </w:tcPr>
    </w:tblStylePr>
  </w:style>
  <w:style w:styleId="PO65" w:type="table">
    <w:name w:val="Grid Table 4"/>
    <w:basedOn w:val="PO3"/>
    <w:uiPriority w:val="65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66"/>
    <w:pPr>
      <w:spacing w:lineRule="auto" w:line="240" w:after="0"/>
      <w:rPr/>
    </w:pPr>
    <w:rPr/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5B9BD5" w:themeColor="accent1" w:sz="4"/>
        </w:tcBorders>
      </w:tcPr>
    </w:tblStylePr>
  </w:style>
  <w:style w:styleId="PO67" w:type="table">
    <w:name w:val="Grid Table 4 Accent 2"/>
    <w:basedOn w:val="PO3"/>
    <w:uiPriority w:val="67"/>
    <w:pPr>
      <w:spacing w:lineRule="auto" w:line="240" w:after="0"/>
      <w:rPr/>
    </w:pPr>
    <w:rPr/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ED7D31" w:themeColor="accent2" w:sz="4"/>
        </w:tcBorders>
      </w:tcPr>
    </w:tblStylePr>
  </w:style>
  <w:style w:styleId="PO68" w:type="table">
    <w:name w:val="Grid Table 4 Accent 3"/>
    <w:basedOn w:val="PO3"/>
    <w:uiPriority w:val="68"/>
    <w:pPr>
      <w:spacing w:lineRule="auto" w:line="240" w:after="0"/>
      <w:rPr/>
    </w:pPr>
    <w:rPr/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A5A5A5" w:themeColor="accent3" w:sz="4"/>
        </w:tcBorders>
      </w:tcPr>
    </w:tblStylePr>
  </w:style>
  <w:style w:styleId="PO69" w:type="table">
    <w:name w:val="Grid Table 4 Accent 4"/>
    <w:basedOn w:val="PO3"/>
    <w:uiPriority w:val="69"/>
    <w:pPr>
      <w:spacing w:lineRule="auto" w:line="240" w:after="0"/>
      <w:rPr/>
    </w:pPr>
    <w:rPr/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FC000" w:themeColor="accent4" w:sz="4"/>
        </w:tcBorders>
      </w:tcPr>
    </w:tblStylePr>
  </w:style>
  <w:style w:styleId="PO72" w:type="table">
    <w:name w:val="Grid Table 5 Dark"/>
    <w:basedOn w:val="PO3"/>
    <w:uiPriority w:val="72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73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EEBF7" w:themeFill="accent1" w:themeFillTint="33" w:color="000000" w:val="clear"/>
    </w:tcPr>
    <w:tblStylePr w:type="band1Horz">
      <w:tcPr>
        <w:shd w:fill="BDD7EE" w:themeFill="accent1" w:themeFillTint="66" w:color="000000" w:val="clear"/>
      </w:tcPr>
    </w:tblStylePr>
    <w:tblStylePr w:type="band1Vert">
      <w:tcPr>
        <w:shd w:fill="BDD7EE" w:themeFill="accen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74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BE5D6" w:themeFill="accent2" w:themeFillTint="33" w:color="000000" w:val="clear"/>
    </w:tcPr>
    <w:tblStylePr w:type="band1Horz">
      <w:tcPr>
        <w:shd w:fill="F8CBAD" w:themeFill="accent2" w:themeFillTint="66" w:color="000000" w:val="clear"/>
      </w:tcPr>
    </w:tblStylePr>
    <w:tblStylePr w:type="band1Vert">
      <w:tcPr>
        <w:shd w:fill="F8CBAD" w:themeFill="accent2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75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EDED" w:themeFill="accent3" w:themeFillTint="33" w:color="000000" w:val="clear"/>
    </w:tcPr>
    <w:tblStylePr w:type="band1Horz">
      <w:tcPr>
        <w:shd w:fill="DBDBDB" w:themeFill="accent3" w:themeFillTint="66" w:color="000000" w:val="clear"/>
      </w:tcPr>
    </w:tblStylePr>
    <w:tblStylePr w:type="band1Vert">
      <w:tcPr>
        <w:shd w:fill="DBDBDB" w:themeFill="accent3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76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F2CC" w:themeFill="accent4" w:themeFillTint="33" w:color="000000" w:val="clear"/>
    </w:tcPr>
    <w:tblStylePr w:type="band1Horz">
      <w:tcPr>
        <w:shd w:fill="FFE699" w:themeFill="accent4" w:themeFillTint="66" w:color="000000" w:val="clear"/>
      </w:tcPr>
    </w:tblStylePr>
    <w:tblStylePr w:type="band1Vert">
      <w:tcPr>
        <w:shd w:fill="FFE699" w:themeFill="accent4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100" w:type="table">
    <w:name w:val="List Table 2"/>
    <w:basedOn w:val="PO3"/>
    <w:uiPriority w:val="100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1" w:type="table">
    <w:name w:val="List Table 2 Accent 1"/>
    <w:basedOn w:val="PO3"/>
    <w:uiPriority w:val="101"/>
    <w:pPr>
      <w:spacing w:lineRule="auto" w:line="240" w:after="0"/>
      <w:rPr/>
    </w:pPr>
    <w:rPr/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2" w:type="table">
    <w:name w:val="List Table 2 Accent 2"/>
    <w:basedOn w:val="PO3"/>
    <w:uiPriority w:val="102"/>
    <w:pPr>
      <w:spacing w:lineRule="auto" w:line="240" w:after="0"/>
      <w:rPr/>
    </w:pPr>
    <w:rPr/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3" w:type="table">
    <w:name w:val="List Table 2 Accent 3"/>
    <w:basedOn w:val="PO3"/>
    <w:uiPriority w:val="103"/>
    <w:pPr>
      <w:spacing w:lineRule="auto" w:line="240" w:after="0"/>
      <w:rPr/>
    </w:pPr>
    <w:rPr/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4" w:type="table">
    <w:name w:val="List Table 2 Accent 4"/>
    <w:basedOn w:val="PO3"/>
    <w:uiPriority w:val="104"/>
    <w:pPr>
      <w:spacing w:lineRule="auto" w:line="240" w:after="0"/>
      <w:rPr/>
    </w:pPr>
    <w:rPr/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7" w:type="table">
    <w:name w:val="List Table 3"/>
    <w:basedOn w:val="PO3"/>
    <w:uiPriority w:val="107"/>
    <w:pPr>
      <w:spacing w:lineRule="auto" w:line="240" w:after="0"/>
      <w:rPr/>
    </w:pPr>
    <w:rPr/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108"/>
    <w:pPr>
      <w:spacing w:lineRule="auto" w:line="240" w:after="0"/>
      <w:rPr/>
    </w:pPr>
    <w:rPr/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5B9BD5" w:themeFill="accen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5B9BD5" w:themeColor="accent1" w:sz="4"/>
        </w:tcBorders>
      </w:tcPr>
    </w:tblStylePr>
    <w:tblStylePr w:type="swCell">
      <w:tcPr>
        <w:tcBorders>
          <w:right w:val="nil"/>
          <w:top w:val="double" w:color="5B9BD5" w:themeColor="accent1" w:sz="4"/>
        </w:tcBorders>
      </w:tcPr>
    </w:tblStylePr>
  </w:style>
  <w:style w:styleId="PO109" w:type="table">
    <w:name w:val="List Table 3 Accent 2"/>
    <w:basedOn w:val="PO3"/>
    <w:uiPriority w:val="109"/>
    <w:pPr>
      <w:spacing w:lineRule="auto" w:line="240" w:after="0"/>
      <w:rPr/>
    </w:pPr>
    <w:rPr/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ED7D31" w:themeFill="accent2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ED7D31" w:themeColor="accent2" w:sz="4"/>
        </w:tcBorders>
      </w:tcPr>
    </w:tblStylePr>
    <w:tblStylePr w:type="swCell">
      <w:tcPr>
        <w:tcBorders>
          <w:right w:val="nil"/>
          <w:top w:val="double" w:color="ED7D31" w:themeColor="accent2" w:sz="4"/>
        </w:tcBorders>
      </w:tcPr>
    </w:tblStylePr>
  </w:style>
  <w:style w:styleId="PO110" w:type="table">
    <w:name w:val="List Table 3 Accent 3"/>
    <w:basedOn w:val="PO3"/>
    <w:uiPriority w:val="110"/>
    <w:pPr>
      <w:spacing w:lineRule="auto" w:line="240" w:after="0"/>
      <w:rPr/>
    </w:pPr>
    <w:rPr/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A5A5A5" w:themeFill="accent3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A5A5A5" w:themeColor="accent3" w:sz="4"/>
        </w:tcBorders>
      </w:tcPr>
    </w:tblStylePr>
    <w:tblStylePr w:type="swCell">
      <w:tcPr>
        <w:tcBorders>
          <w:right w:val="nil"/>
          <w:top w:val="double" w:color="A5A5A5" w:themeColor="accent3" w:sz="4"/>
        </w:tcBorders>
      </w:tcPr>
    </w:tblStylePr>
  </w:style>
  <w:style w:styleId="PO111" w:type="table">
    <w:name w:val="List Table 3 Accent 4"/>
    <w:basedOn w:val="PO3"/>
    <w:uiPriority w:val="111"/>
    <w:pPr>
      <w:spacing w:lineRule="auto" w:line="240" w:after="0"/>
      <w:rPr/>
    </w:pPr>
    <w:rPr/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FFC000" w:themeFill="accent4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FC000" w:themeColor="accent4" w:sz="4"/>
        </w:tcBorders>
      </w:tcPr>
    </w:tblStylePr>
    <w:tblStylePr w:type="swCell">
      <w:tcPr>
        <w:tcBorders>
          <w:right w:val="nil"/>
          <w:top w:val="double" w:color="FFC000" w:themeColor="accent4" w:sz="4"/>
        </w:tcBorders>
      </w:tcPr>
    </w:tblStylePr>
  </w:style>
  <w:style w:styleId="PO114" w:type="table">
    <w:name w:val="List Table 4"/>
    <w:basedOn w:val="PO3"/>
    <w:uiPriority w:val="114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115"/>
    <w:pPr>
      <w:spacing w:lineRule="auto" w:line="240" w:after="0"/>
      <w:rPr/>
    </w:pPr>
    <w:rPr/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DC3E6" w:themeColor="accent1" w:themeTint="99" w:sz="4"/>
        </w:tcBorders>
      </w:tcPr>
    </w:tblStylePr>
  </w:style>
  <w:style w:styleId="PO116" w:type="table">
    <w:name w:val="List Table 4 Accent 2"/>
    <w:basedOn w:val="PO3"/>
    <w:uiPriority w:val="116"/>
    <w:pPr>
      <w:spacing w:lineRule="auto" w:line="240" w:after="0"/>
      <w:rPr/>
    </w:pPr>
    <w:rPr/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4B183" w:themeColor="accent2" w:themeTint="99" w:sz="4"/>
        </w:tcBorders>
      </w:tcPr>
    </w:tblStylePr>
  </w:style>
  <w:style w:styleId="PO117" w:type="table">
    <w:name w:val="List Table 4 Accent 3"/>
    <w:basedOn w:val="PO3"/>
    <w:uiPriority w:val="117"/>
    <w:pPr>
      <w:spacing w:lineRule="auto" w:line="240" w:after="0"/>
      <w:rPr/>
    </w:pPr>
    <w:rPr/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9C9C9" w:themeColor="accent3" w:themeTint="99" w:sz="4"/>
        </w:tcBorders>
      </w:tcPr>
    </w:tblStylePr>
  </w:style>
  <w:style w:styleId="PO118" w:type="table">
    <w:name w:val="List Table 4 Accent 4"/>
    <w:basedOn w:val="PO3"/>
    <w:uiPriority w:val="118"/>
    <w:pPr>
      <w:spacing w:lineRule="auto" w:line="240" w:after="0"/>
      <w:rPr/>
    </w:pPr>
    <w:rPr/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FD966" w:themeColor="accent4" w:themeTint="99" w:sz="4"/>
        </w:tcBorders>
      </w:tcPr>
    </w:tblStylePr>
  </w:style>
  <w:style w:styleId="PO121" w:type="table">
    <w:name w:val="List Table 5"/>
    <w:basedOn w:val="PO3"/>
    <w:uiPriority w:val="121"/>
    <w:pPr>
      <w:spacing w:lineRule="auto" w:line="240" w:after="0"/>
      <w:rPr/>
    </w:pPr>
    <w:rPr>
      <w:color w:val="FFFFFF" w:themeColor="background1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uiPriority w:val="122"/>
    <w:pPr>
      <w:spacing w:lineRule="auto" w:line="240" w:after="0"/>
      <w:rPr/>
    </w:pPr>
    <w:rPr>
      <w:color w:val="FFFFFF" w:themeColor="background1"/>
    </w:rPr>
    <w:tblPr>
      <w:tblBorders>
        <w:bottom w:val="single" w:color="5B9BD5" w:themeColor="accent1" w:sz="24"/>
        <w:left w:val="single" w:color="5B9BD5" w:themeColor="accent1" w:sz="24"/>
        <w:right w:val="single" w:color="5B9BD5" w:themeColor="accent1" w:sz="24"/>
        <w:top w:val="single" w:color="5B9BD5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5B9BD5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uiPriority w:val="123"/>
    <w:pPr>
      <w:spacing w:lineRule="auto" w:line="240" w:after="0"/>
      <w:rPr/>
    </w:pPr>
    <w:rPr>
      <w:color w:val="FFFFFF" w:themeColor="background1"/>
    </w:rPr>
    <w:tblPr>
      <w:tblBorders>
        <w:bottom w:val="single" w:color="ED7D31" w:themeColor="accent2" w:sz="24"/>
        <w:left w:val="single" w:color="ED7D31" w:themeColor="accent2" w:sz="24"/>
        <w:right w:val="single" w:color="ED7D31" w:themeColor="accent2" w:sz="24"/>
        <w:top w:val="single" w:color="ED7D31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7D31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uiPriority w:val="124"/>
    <w:pPr>
      <w:spacing w:lineRule="auto" w:line="240" w:after="0"/>
      <w:rPr/>
    </w:pPr>
    <w:rPr>
      <w:color w:val="FFFFFF" w:themeColor="background1"/>
    </w:rPr>
    <w:tblPr>
      <w:tblBorders>
        <w:bottom w:val="single" w:color="A5A5A5" w:themeColor="accent3" w:sz="24"/>
        <w:left w:val="single" w:color="A5A5A5" w:themeColor="accent3" w:sz="24"/>
        <w:right w:val="single" w:color="A5A5A5" w:themeColor="accent3" w:sz="24"/>
        <w:top w:val="single" w:color="A5A5A5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A5A5A5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uiPriority w:val="125"/>
    <w:pPr>
      <w:spacing w:lineRule="auto" w:line="240" w:after="0"/>
      <w:rPr/>
    </w:pPr>
    <w:rPr>
      <w:color w:val="FFFFFF" w:themeColor="background1"/>
    </w:rPr>
    <w:tblPr>
      <w:tblBorders>
        <w:bottom w:val="single" w:color="FFC000" w:themeColor="accent4" w:sz="24"/>
        <w:left w:val="single" w:color="FFC000" w:themeColor="accent4" w:sz="24"/>
        <w:right w:val="single" w:color="FFC000" w:themeColor="accent4" w:sz="24"/>
        <w:top w:val="single" w:color="FFC000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C000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24750105870.png"></Relationship><Relationship Id="rId6" Type="http://schemas.openxmlformats.org/officeDocument/2006/relationships/image" Target="media/fImage121411169023.png"></Relationship><Relationship Id="rId7" Type="http://schemas.openxmlformats.org/officeDocument/2006/relationships/image" Target="media/fImage350640541078.png"></Relationship><Relationship Id="rId8" Type="http://schemas.openxmlformats.org/officeDocument/2006/relationships/image" Target="media/fImage573441244514.png"></Relationship><Relationship Id="rId9" Type="http://schemas.openxmlformats.org/officeDocument/2006/relationships/image" Target="media/fImage306948194486.png"></Relationship><Relationship Id="rId10" Type="http://schemas.openxmlformats.org/officeDocument/2006/relationships/image" Target="media/fImage334708278224.png"></Relationship><Relationship Id="rId11" Type="http://schemas.openxmlformats.org/officeDocument/2006/relationships/image" Target="media/fImage485361383986.png"></Relationship><Relationship Id="rId12" Type="http://schemas.openxmlformats.org/officeDocument/2006/relationships/image" Target="media/fImage436800402474.png"></Relationship><Relationship Id="rId13" Type="http://schemas.openxmlformats.org/officeDocument/2006/relationships/image" Target="media/fImage158240552690.png"></Relationship><Relationship Id="rId14" Type="http://schemas.openxmlformats.org/officeDocument/2006/relationships/image" Target="media/fImage576961563822.png"></Relationship><Relationship Id="rId15" Type="http://schemas.openxmlformats.org/officeDocument/2006/relationships/image" Target="media/fImage627128669652.png"></Relationship><Relationship Id="rId16" Type="http://schemas.openxmlformats.org/officeDocument/2006/relationships/image" Target="media/fImage512708688302.png"></Relationship><Relationship Id="rId17" Type="http://schemas.openxmlformats.org/officeDocument/2006/relationships/image" Target="media/fImage529155975827.png"></Relationship><Relationship Id="rId18" Type="http://schemas.openxmlformats.org/officeDocument/2006/relationships/image" Target="media/fImage180691983048.png"></Relationship><Relationship Id="rId19" Type="http://schemas.openxmlformats.org/officeDocument/2006/relationships/footer" Target="footer2.xml"></Relationship><Relationship Id="rId20" Type="http://schemas.openxmlformats.org/officeDocument/2006/relationships/numbering" Target="numbering.xml"></Relationship><Relationship Id="rId2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23</Pages>
  <Paragraphs>0</Paragraphs>
  <Words>50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ibezimemily</dc:creator>
  <cp:lastModifiedBy>ibezimemily</cp:lastModifiedBy>
</cp:coreProperties>
</file>