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4" w:rsidRDefault="00782200">
      <w:r>
        <w:t>AKINROLABU IBUKUN JUSTINA</w:t>
      </w:r>
    </w:p>
    <w:p w:rsidR="00782200" w:rsidRDefault="00782200">
      <w:r>
        <w:t>17/MHS06/016</w:t>
      </w:r>
    </w:p>
    <w:p w:rsidR="00782200" w:rsidRDefault="00782200">
      <w:r>
        <w:t>MEDICAL LABORATORY SCIENCE</w:t>
      </w:r>
    </w:p>
    <w:p w:rsidR="00782200" w:rsidRDefault="00782200">
      <w:r>
        <w:t>PHA 302</w:t>
      </w:r>
    </w:p>
    <w:p w:rsidR="00782200" w:rsidRDefault="00782200">
      <w:r>
        <w:t xml:space="preserve">      BACTERIAL PROTEIN SYNTHESIS INHIBITOR</w:t>
      </w:r>
    </w:p>
    <w:p w:rsidR="00F64362" w:rsidRPr="00674436" w:rsidRDefault="00782200" w:rsidP="00512B70">
      <w:pPr>
        <w:ind w:left="720"/>
      </w:pPr>
      <w:r>
        <w:t xml:space="preserve">      1)CHLORAMPHENICOL:</w:t>
      </w:r>
      <w:r w:rsidR="00674436" w:rsidRPr="00674436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r w:rsidR="00674436" w:rsidRPr="00674436">
        <w:t xml:space="preserve">Chloramphenicol is a </w:t>
      </w:r>
      <w:r w:rsidR="00674436" w:rsidRPr="00674436">
        <w:rPr>
          <w:bCs/>
        </w:rPr>
        <w:t>bacteriostatic broad-spectrum antibiotic that is active against both aerobic and anaerobic gram-positive and gram-negative organisms.</w:t>
      </w:r>
    </w:p>
    <w:p w:rsidR="00F64362" w:rsidRPr="00674436" w:rsidRDefault="00674436" w:rsidP="00512B70">
      <w:pPr>
        <w:ind w:left="720"/>
      </w:pPr>
      <w:r w:rsidRPr="00674436">
        <w:rPr>
          <w:bCs/>
        </w:rPr>
        <w:t xml:space="preserve"> </w:t>
      </w:r>
      <w:r w:rsidRPr="00674436">
        <w:t>It is active also against rickettsiae</w:t>
      </w:r>
      <w:r w:rsidRPr="00674436">
        <w:rPr>
          <w:i/>
          <w:iCs/>
        </w:rPr>
        <w:t xml:space="preserve">. Haemophilus influenzae, N. meningitidis, and some strains of Bacteroides are highly </w:t>
      </w:r>
      <w:r w:rsidRPr="00674436">
        <w:t>susceptible, and for them chloramphenicol may be bactericidal.</w:t>
      </w:r>
    </w:p>
    <w:p w:rsidR="00512B70" w:rsidRDefault="00674436" w:rsidP="00512B70">
      <w:pPr>
        <w:ind w:left="720"/>
      </w:pPr>
      <w:r w:rsidRPr="00674436">
        <w:t xml:space="preserve"> Clinically </w:t>
      </w:r>
      <w:r w:rsidRPr="00674436">
        <w:rPr>
          <w:bCs/>
        </w:rPr>
        <w:t xml:space="preserve">significant resistance </w:t>
      </w:r>
      <w:r w:rsidRPr="00674436">
        <w:t xml:space="preserve">emerges and may be due to production of </w:t>
      </w:r>
      <w:r w:rsidRPr="00674436">
        <w:rPr>
          <w:bCs/>
        </w:rPr>
        <w:t>chloramphenicol acetyltransferase, an enzyme that inactivates the drug</w:t>
      </w:r>
      <w:r w:rsidRPr="00674436">
        <w:t xml:space="preserve">. </w:t>
      </w:r>
    </w:p>
    <w:p w:rsidR="00A85501" w:rsidRDefault="00A85501" w:rsidP="00A85501">
      <w:pPr>
        <w:ind w:left="720"/>
        <w:rPr>
          <w:b/>
          <w:bCs/>
        </w:rPr>
      </w:pPr>
      <w:r>
        <w:rPr>
          <w:b/>
          <w:bCs/>
        </w:rPr>
        <w:t>MECHANISM OF ACTION</w:t>
      </w:r>
    </w:p>
    <w:p w:rsidR="00000000" w:rsidRPr="00A85501" w:rsidRDefault="00BA5E61" w:rsidP="00A85501">
      <w:pPr>
        <w:pStyle w:val="ListParagraph"/>
        <w:numPr>
          <w:ilvl w:val="0"/>
          <w:numId w:val="7"/>
        </w:numPr>
      </w:pPr>
      <w:r w:rsidRPr="00A85501">
        <w:rPr>
          <w:rFonts w:eastAsiaTheme="minorEastAsia"/>
          <w:bCs/>
        </w:rPr>
        <w:t>Chloramphenicol blocks</w:t>
      </w:r>
      <w:r w:rsidRPr="00A85501">
        <w:rPr>
          <w:rFonts w:eastAsiaTheme="minorEastAsia"/>
          <w:b/>
          <w:bCs/>
        </w:rPr>
        <w:t xml:space="preserve"> </w:t>
      </w:r>
      <w:r w:rsidRPr="00A85501">
        <w:rPr>
          <w:rFonts w:eastAsiaTheme="minorEastAsia"/>
        </w:rPr>
        <w:t>proper binding of 50S site which, stops protein synthesis.</w:t>
      </w:r>
    </w:p>
    <w:p w:rsidR="00000000" w:rsidRPr="00A85501" w:rsidRDefault="00BA5E61" w:rsidP="00A85501">
      <w:pPr>
        <w:numPr>
          <w:ilvl w:val="0"/>
          <w:numId w:val="7"/>
        </w:numPr>
      </w:pPr>
      <w:r w:rsidRPr="00A85501">
        <w:t xml:space="preserve"> It does inhibit mitochondrial ribosomal protein synthesis because these ribosomes are 70S, the same a</w:t>
      </w:r>
      <w:r w:rsidRPr="00A85501">
        <w:t xml:space="preserve">s those in bacteria. </w:t>
      </w:r>
    </w:p>
    <w:p w:rsidR="00000000" w:rsidRPr="00A85501" w:rsidRDefault="00BA5E61" w:rsidP="00A85501">
      <w:pPr>
        <w:numPr>
          <w:ilvl w:val="0"/>
          <w:numId w:val="7"/>
        </w:numPr>
      </w:pPr>
      <w:r w:rsidRPr="00A85501">
        <w:t>It hinders the transfer of the elongating peptide chain to the newly attached amino acyl tRNA at the ribosome mRNA complex.</w:t>
      </w:r>
    </w:p>
    <w:p w:rsidR="00000000" w:rsidRPr="00A85501" w:rsidRDefault="00BA5E61" w:rsidP="00A85501">
      <w:pPr>
        <w:numPr>
          <w:ilvl w:val="0"/>
          <w:numId w:val="7"/>
        </w:numPr>
      </w:pPr>
      <w:r w:rsidRPr="00A85501">
        <w:t>It specifically attaches to the 50S ribosome and therefore hinder the access of aminoacyl-tRNA to the acceptor for amino acid incorporation</w:t>
      </w:r>
    </w:p>
    <w:p w:rsidR="00000000" w:rsidRPr="00A85501" w:rsidRDefault="00BA5E61" w:rsidP="00A85501">
      <w:pPr>
        <w:numPr>
          <w:ilvl w:val="0"/>
          <w:numId w:val="7"/>
        </w:numPr>
      </w:pPr>
      <w:r w:rsidRPr="00A85501">
        <w:t>It prevents formation of pep</w:t>
      </w:r>
      <w:r w:rsidRPr="00A85501">
        <w:t>tide bond</w:t>
      </w:r>
    </w:p>
    <w:p w:rsidR="00A85501" w:rsidRDefault="00BA5E61" w:rsidP="00A85501">
      <w:pPr>
        <w:numPr>
          <w:ilvl w:val="0"/>
          <w:numId w:val="7"/>
        </w:numPr>
      </w:pPr>
      <w:r w:rsidRPr="00A85501">
        <w:t>This may be responsible for the dose related anemia caused by chloramphenicol</w:t>
      </w:r>
    </w:p>
    <w:p w:rsidR="0086329C" w:rsidRDefault="0086329C" w:rsidP="00A85501">
      <w:pPr>
        <w:numPr>
          <w:ilvl w:val="0"/>
          <w:numId w:val="7"/>
        </w:numPr>
      </w:pPr>
      <w:r>
        <w:t>It prevents bacterial protein synthesis by binding to the 50s ribosomal subunit.</w:t>
      </w:r>
    </w:p>
    <w:p w:rsidR="00000000" w:rsidRDefault="00512B70" w:rsidP="00D54EF2">
      <w:r>
        <w:t>INDICATION FOR USE:</w:t>
      </w:r>
      <w:r w:rsidR="00020CCB" w:rsidRPr="00020CCB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BA5E61" w:rsidRPr="00020CCB">
        <w:t xml:space="preserve">Because of potential toxicity, bacterial resistance, and the availability of other effective drugs, chloramphenicol may be considered mainly for treatment of serious rickettsial infections, bacterial meningitis caused </w:t>
      </w:r>
      <w:r w:rsidR="00BA5E61" w:rsidRPr="00020CCB">
        <w:t>by a markedly penicillin-resistant strain of pneumococcus or meningococcus, and thyphoid fever.</w:t>
      </w:r>
    </w:p>
    <w:p w:rsidR="00000000" w:rsidRPr="002C1CD0" w:rsidRDefault="002C1CD0" w:rsidP="002C1CD0">
      <w:pPr>
        <w:ind w:left="360"/>
      </w:pPr>
      <w:r>
        <w:t>TOXICITY:</w:t>
      </w:r>
      <w:r w:rsidRPr="002C1CD0">
        <w:rPr>
          <w:rFonts w:eastAsiaTheme="minorEastAsia" w:hAnsi="Calibr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BA5E61" w:rsidRPr="00D54EF2">
        <w:rPr>
          <w:bCs/>
        </w:rPr>
        <w:t>Toxicity for newborn infants</w:t>
      </w:r>
      <w:r w:rsidR="00BA5E61" w:rsidRPr="002C1CD0">
        <w:t xml:space="preserve">: </w:t>
      </w:r>
    </w:p>
    <w:p w:rsidR="00000000" w:rsidRPr="002C1CD0" w:rsidRDefault="002C1CD0" w:rsidP="002C1CD0">
      <w:pPr>
        <w:ind w:left="720"/>
      </w:pPr>
      <w:r>
        <w:t xml:space="preserve">1) </w:t>
      </w:r>
      <w:r w:rsidR="00BA5E61" w:rsidRPr="002C1CD0">
        <w:t>Newborn infants lack an effective glucuronic acid conjugation</w:t>
      </w:r>
    </w:p>
    <w:p w:rsidR="00000000" w:rsidRPr="002C1CD0" w:rsidRDefault="002C1CD0" w:rsidP="002C1CD0">
      <w:r>
        <w:t xml:space="preserve">               2) </w:t>
      </w:r>
      <w:r w:rsidR="00BA5E61" w:rsidRPr="002C1CD0">
        <w:t>mechanism for the degradation and detoxification of chlo</w:t>
      </w:r>
      <w:r w:rsidR="00BA5E61" w:rsidRPr="002C1CD0">
        <w:t xml:space="preserve">ramphenicol. </w:t>
      </w:r>
    </w:p>
    <w:p w:rsidR="00000000" w:rsidRDefault="002C1CD0" w:rsidP="002C1CD0">
      <w:pPr>
        <w:ind w:left="720"/>
      </w:pPr>
      <w:r>
        <w:t xml:space="preserve"> 3) </w:t>
      </w:r>
      <w:r w:rsidR="00BA5E61" w:rsidRPr="002C1CD0">
        <w:t>Consequently, when infants are given dosages above 50 mg/kg/d, the drug may accumulate, resulting in the gray baby syndrome, with vomiting, flaccidity, hypothermia, gray color,</w:t>
      </w:r>
      <w:r w:rsidR="00BA5E61" w:rsidRPr="002C1CD0">
        <w:t xml:space="preserve"> shock, and collapse.</w:t>
      </w:r>
    </w:p>
    <w:p w:rsidR="002C1CD0" w:rsidRDefault="002C1CD0" w:rsidP="002C1CD0">
      <w:pPr>
        <w:ind w:left="720"/>
      </w:pPr>
      <w:r>
        <w:t xml:space="preserve"> 4) Dose related anemia, idiosyncra</w:t>
      </w:r>
      <w:bookmarkStart w:id="0" w:name="_GoBack"/>
      <w:bookmarkEnd w:id="0"/>
      <w:r>
        <w:t>tic aplastic anemia, gray baby syndrome.</w:t>
      </w:r>
    </w:p>
    <w:p w:rsidR="00000000" w:rsidRPr="00D54EF2" w:rsidRDefault="002C1CD0" w:rsidP="00A85501">
      <w:pPr>
        <w:ind w:left="720"/>
      </w:pPr>
      <w:r>
        <w:lastRenderedPageBreak/>
        <w:t>ADVERSE EFFECTS:</w:t>
      </w:r>
      <w:r w:rsidR="00D36FE3">
        <w:t xml:space="preserve"> </w:t>
      </w:r>
      <w:r w:rsidR="00BA5E61" w:rsidRPr="00D54EF2">
        <w:rPr>
          <w:bCs/>
        </w:rPr>
        <w:t>Gastrointestinal disturbances</w:t>
      </w:r>
      <w:r w:rsidR="00BA5E61" w:rsidRPr="00D54EF2">
        <w:t xml:space="preserve">: Adults occasionally develop nausea, </w:t>
      </w:r>
      <w:r w:rsidR="00BA5E61" w:rsidRPr="00D54EF2">
        <w:t>vomiting, and diarrhea.</w:t>
      </w:r>
    </w:p>
    <w:p w:rsidR="00000000" w:rsidRPr="00D54EF2" w:rsidRDefault="00BA5E61" w:rsidP="00A85501">
      <w:pPr>
        <w:numPr>
          <w:ilvl w:val="0"/>
          <w:numId w:val="5"/>
        </w:numPr>
      </w:pPr>
      <w:r w:rsidRPr="00D54EF2">
        <w:t>Oral or vaginal candidiasis may occur as a result of alteration of normal microbial flora.</w:t>
      </w:r>
    </w:p>
    <w:p w:rsidR="00000000" w:rsidRPr="00D54EF2" w:rsidRDefault="00BA5E61" w:rsidP="00A85501">
      <w:pPr>
        <w:numPr>
          <w:ilvl w:val="0"/>
          <w:numId w:val="5"/>
        </w:numPr>
      </w:pPr>
      <w:r w:rsidRPr="00D54EF2">
        <w:rPr>
          <w:bCs/>
        </w:rPr>
        <w:t>Bone marr</w:t>
      </w:r>
      <w:r w:rsidRPr="00D54EF2">
        <w:rPr>
          <w:bCs/>
        </w:rPr>
        <w:t>ow disturbances</w:t>
      </w:r>
      <w:r w:rsidRPr="00D54EF2">
        <w:rPr>
          <w:i/>
          <w:iCs/>
        </w:rPr>
        <w:t xml:space="preserve">: Chloramphenicol commonly causes a dose-related reversible </w:t>
      </w:r>
      <w:r w:rsidRPr="00D54EF2">
        <w:t xml:space="preserve">suppression of red cell production at </w:t>
      </w:r>
      <w:r w:rsidRPr="00D54EF2">
        <w:t xml:space="preserve">dosages exceeding 50 mg/kg/d after 1-2 weeks. </w:t>
      </w:r>
    </w:p>
    <w:p w:rsidR="00000000" w:rsidRPr="00D54EF2" w:rsidRDefault="00BA5E61" w:rsidP="00A85501">
      <w:pPr>
        <w:numPr>
          <w:ilvl w:val="0"/>
          <w:numId w:val="5"/>
        </w:numPr>
      </w:pPr>
      <w:r w:rsidRPr="00D54EF2">
        <w:t>Aplastic anemia is a rare consequence of chloramphenicol administration by any route. It is an idiosyncratic reaction unrelated to dose, though</w:t>
      </w:r>
      <w:r w:rsidRPr="00D54EF2">
        <w:t xml:space="preserve"> it occurs more frequently with prolonged use. It</w:t>
      </w:r>
    </w:p>
    <w:p w:rsidR="00000000" w:rsidRPr="00D54EF2" w:rsidRDefault="00BA5E61" w:rsidP="00A85501">
      <w:pPr>
        <w:numPr>
          <w:ilvl w:val="0"/>
          <w:numId w:val="5"/>
        </w:numPr>
      </w:pPr>
      <w:r w:rsidRPr="00D54EF2">
        <w:t>tends to be irreversible and can be fatal.</w:t>
      </w:r>
    </w:p>
    <w:p w:rsidR="00D54EF2" w:rsidRPr="002C1CD0" w:rsidRDefault="00A85501" w:rsidP="00A85501">
      <w:r>
        <w:t xml:space="preserve">        6.    </w:t>
      </w:r>
      <w:r w:rsidR="00D54EF2">
        <w:t>Bacteriostatic activity against susceptible bacteria</w:t>
      </w:r>
    </w:p>
    <w:p w:rsidR="002C1CD0" w:rsidRPr="00020CCB" w:rsidRDefault="002C1CD0" w:rsidP="00A85501">
      <w:pPr>
        <w:tabs>
          <w:tab w:val="left" w:pos="3030"/>
        </w:tabs>
        <w:ind w:left="720" w:firstLine="2310"/>
      </w:pPr>
    </w:p>
    <w:p w:rsidR="00512B70" w:rsidRDefault="00512B70" w:rsidP="00512B70"/>
    <w:sectPr w:rsidR="0051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6C77"/>
    <w:multiLevelType w:val="hybridMultilevel"/>
    <w:tmpl w:val="C470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EB5"/>
    <w:multiLevelType w:val="hybridMultilevel"/>
    <w:tmpl w:val="13C6095C"/>
    <w:lvl w:ilvl="0" w:tplc="877E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8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8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6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C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A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F36446"/>
    <w:multiLevelType w:val="hybridMultilevel"/>
    <w:tmpl w:val="5E9E5964"/>
    <w:lvl w:ilvl="0" w:tplc="E660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C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82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4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51149E"/>
    <w:multiLevelType w:val="hybridMultilevel"/>
    <w:tmpl w:val="339EA2C2"/>
    <w:lvl w:ilvl="0" w:tplc="6AF0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6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0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2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E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C34A5F"/>
    <w:multiLevelType w:val="hybridMultilevel"/>
    <w:tmpl w:val="C70CD12E"/>
    <w:lvl w:ilvl="0" w:tplc="5524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F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A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3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473A9A"/>
    <w:multiLevelType w:val="hybridMultilevel"/>
    <w:tmpl w:val="B882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5D38"/>
    <w:multiLevelType w:val="hybridMultilevel"/>
    <w:tmpl w:val="CBA0479A"/>
    <w:lvl w:ilvl="0" w:tplc="340C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8A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C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3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C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E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4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0"/>
    <w:rsid w:val="00020CCB"/>
    <w:rsid w:val="00274B14"/>
    <w:rsid w:val="002C1CD0"/>
    <w:rsid w:val="00387C36"/>
    <w:rsid w:val="003E71CF"/>
    <w:rsid w:val="0044609C"/>
    <w:rsid w:val="00512B70"/>
    <w:rsid w:val="00674436"/>
    <w:rsid w:val="00782200"/>
    <w:rsid w:val="0086329C"/>
    <w:rsid w:val="0095127D"/>
    <w:rsid w:val="00A06DAB"/>
    <w:rsid w:val="00A85501"/>
    <w:rsid w:val="00BA5E61"/>
    <w:rsid w:val="00D36FE3"/>
    <w:rsid w:val="00D54EF2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6C20-837C-4697-BE08-55A7853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2020-04-30T18:14:00Z</dcterms:created>
  <dcterms:modified xsi:type="dcterms:W3CDTF">2020-04-30T18:14:00Z</dcterms:modified>
</cp:coreProperties>
</file>