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Pha 302 Assignment.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Makaraba Glory Preye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300level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16/mhs01/133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Write on a named Bacterial protein synthesis inhibitor,  stating it's mechanism of action,  indication of use, toxicity and adverse effects.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tetracyclines are a series of derivatives of a basic four-ring structure shown next for doxycycline. Demeclocycline, tetracycline, minocycline, and doxycycline are available in the U.S. for systemic use. Glycylcyclines are tetracycline congers with substituents that confer broad-spectrum activity and activity against tetracycline-resistant bacteria; the currently available glycylcycline is tigecycline.Tetracycline is also used to treat infections you can get from direct contact with infected animals or contaminated food.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some cases, tetracycline is used when penicillin or another antibiotic cannot be used to treat serious infections such as Anthrax, Listeria, Clostridium, Actinomyces etc.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Inhibition of bacterial protein synthesis by tetracyclines. mRNA attaches to the 30S subunit of bacterial ribosomal RNA. The P (peptidyl) site of the 50S ribosomal RNA subunit contains the nascent polypeptide chain; normally, the aminoacyl tRNA charged with the next amino acid (aa) to be added moves into the A (acceptor) site, with complementary base pairing between the anticodon sequence of tRNA and the codon sequence of mRNA. Tetracyclines bind to the 30S subunit, block tRNA binding to the A site, and thereby inhibit protein synthesis.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Mechanism of Action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Tetracyclines and glycylcyclines inhibit bacterial protein synthesis by binding to the 30S bacterial ribosome and preventing access of aminoacyl tRNA to the acceptor (A) site on the mRNA-ribosome complex.  These drugs enter gram-negative bacteria by passive diffusion through channels formed by porins in the outer cell membrane and by active transport that pumps tetracyclines across the cytoplasmic membrane.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Tetracycline side effects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Get emergency medical help if you have signs of an allergic reaction to tetracycline: hives; difficult breathing; swelling of your face, lips, tongue, or throat.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Call your doctor at once if you have: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 severe blistering, peeling, and red skin rash;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 fever, chills, body aches, flu symptoms;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 pale or yellowed skin, easy bruising or bleeding;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 any signs of a new infection.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