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1" w:rsidRDefault="00F23791" w:rsidP="0064480C">
      <w:pPr>
        <w:pStyle w:val="Heading3"/>
        <w:jc w:val="both"/>
        <w:rPr>
          <w:sz w:val="52"/>
          <w:szCs w:val="52"/>
        </w:rPr>
      </w:pPr>
      <w:r>
        <w:rPr>
          <w:sz w:val="52"/>
          <w:szCs w:val="52"/>
        </w:rPr>
        <w:t>NAME: ESTHER OKOJIDE ALETILE</w:t>
      </w:r>
    </w:p>
    <w:p w:rsidR="00F23791" w:rsidRDefault="00F23791" w:rsidP="0064480C">
      <w:pPr>
        <w:pStyle w:val="Heading3"/>
        <w:jc w:val="both"/>
        <w:rPr>
          <w:sz w:val="52"/>
          <w:szCs w:val="52"/>
        </w:rPr>
      </w:pPr>
    </w:p>
    <w:p w:rsidR="00F23791" w:rsidRDefault="00F23791" w:rsidP="0064480C">
      <w:pPr>
        <w:pStyle w:val="Heading3"/>
        <w:jc w:val="both"/>
        <w:rPr>
          <w:sz w:val="52"/>
          <w:szCs w:val="52"/>
        </w:rPr>
      </w:pPr>
      <w:r>
        <w:rPr>
          <w:sz w:val="52"/>
          <w:szCs w:val="52"/>
        </w:rPr>
        <w:t>MATRIC NO: 18/MHS06/063</w:t>
      </w:r>
    </w:p>
    <w:p w:rsidR="00F23791" w:rsidRDefault="00F23791" w:rsidP="0064480C">
      <w:pPr>
        <w:pStyle w:val="Heading3"/>
        <w:jc w:val="both"/>
        <w:rPr>
          <w:sz w:val="52"/>
          <w:szCs w:val="52"/>
        </w:rPr>
      </w:pPr>
    </w:p>
    <w:p w:rsidR="00F23791" w:rsidRDefault="00F23791" w:rsidP="0064480C">
      <w:pPr>
        <w:pStyle w:val="Heading3"/>
        <w:jc w:val="both"/>
        <w:rPr>
          <w:sz w:val="52"/>
          <w:szCs w:val="52"/>
        </w:rPr>
      </w:pPr>
      <w:r>
        <w:rPr>
          <w:sz w:val="52"/>
          <w:szCs w:val="52"/>
        </w:rPr>
        <w:t>COURSE TITLE:</w:t>
      </w:r>
      <w:r w:rsidR="00FE7A88">
        <w:rPr>
          <w:sz w:val="52"/>
          <w:szCs w:val="52"/>
        </w:rPr>
        <w:t xml:space="preserve"> INTRODUCTION TO PHARMACOLOGY AND TOXICOLOGY II</w:t>
      </w:r>
    </w:p>
    <w:p w:rsidR="00F23791" w:rsidRDefault="00F23791" w:rsidP="0064480C">
      <w:pPr>
        <w:pStyle w:val="Heading3"/>
        <w:jc w:val="both"/>
        <w:rPr>
          <w:sz w:val="52"/>
          <w:szCs w:val="52"/>
        </w:rPr>
      </w:pPr>
    </w:p>
    <w:p w:rsidR="00F23791" w:rsidRDefault="00FE7A88" w:rsidP="0064480C">
      <w:pPr>
        <w:pStyle w:val="Heading3"/>
        <w:jc w:val="both"/>
        <w:rPr>
          <w:sz w:val="52"/>
          <w:szCs w:val="52"/>
        </w:rPr>
      </w:pPr>
      <w:r>
        <w:rPr>
          <w:sz w:val="52"/>
          <w:szCs w:val="52"/>
        </w:rPr>
        <w:t>COURSE CODE: PHA 302</w:t>
      </w:r>
    </w:p>
    <w:p w:rsidR="00F23791" w:rsidRDefault="00F23791" w:rsidP="0064480C">
      <w:pPr>
        <w:pStyle w:val="Heading3"/>
        <w:jc w:val="both"/>
        <w:rPr>
          <w:sz w:val="52"/>
          <w:szCs w:val="52"/>
        </w:rPr>
      </w:pPr>
    </w:p>
    <w:p w:rsidR="00F23791" w:rsidRDefault="00F23791" w:rsidP="0064480C">
      <w:pPr>
        <w:pStyle w:val="Heading3"/>
        <w:jc w:val="both"/>
        <w:rPr>
          <w:sz w:val="52"/>
          <w:szCs w:val="52"/>
        </w:rPr>
      </w:pPr>
      <w:r>
        <w:rPr>
          <w:sz w:val="52"/>
          <w:szCs w:val="52"/>
        </w:rPr>
        <w:t>COURSE LECTURERS</w:t>
      </w:r>
      <w:r>
        <w:rPr>
          <w:sz w:val="52"/>
          <w:szCs w:val="52"/>
        </w:rPr>
        <w:t>: MRS. OLAYINKA, JULIET NNENDA AND MR. ONI, JAMES OLUKAYODE</w:t>
      </w:r>
    </w:p>
    <w:p w:rsidR="00F23791" w:rsidRDefault="00F23791" w:rsidP="0064480C">
      <w:pPr>
        <w:pStyle w:val="Heading3"/>
        <w:jc w:val="both"/>
        <w:rPr>
          <w:sz w:val="52"/>
          <w:szCs w:val="52"/>
        </w:rPr>
      </w:pPr>
      <w:r>
        <w:rPr>
          <w:sz w:val="52"/>
          <w:szCs w:val="52"/>
        </w:rPr>
        <w:t>DATE: 30/04/2020</w:t>
      </w:r>
    </w:p>
    <w:p w:rsidR="00F23791" w:rsidRPr="00F23791" w:rsidRDefault="00F23791" w:rsidP="0064480C">
      <w:pPr>
        <w:pStyle w:val="NormalWeb"/>
        <w:shd w:val="clear" w:color="auto" w:fill="FFFFFF"/>
        <w:spacing w:before="0" w:beforeAutospacing="0" w:after="150" w:afterAutospacing="0"/>
        <w:jc w:val="both"/>
        <w:rPr>
          <w:b/>
          <w:color w:val="333333"/>
          <w:sz w:val="36"/>
          <w:szCs w:val="36"/>
        </w:rPr>
      </w:pPr>
      <w:r>
        <w:rPr>
          <w:sz w:val="52"/>
          <w:szCs w:val="52"/>
        </w:rPr>
        <w:t xml:space="preserve">ASSIGNMENT QUESTION: </w:t>
      </w:r>
      <w:r>
        <w:rPr>
          <w:rFonts w:ascii="Arial" w:hAnsi="Arial" w:cs="Arial"/>
          <w:color w:val="333333"/>
          <w:sz w:val="21"/>
          <w:szCs w:val="21"/>
        </w:rPr>
        <w:t xml:space="preserve"> </w:t>
      </w:r>
      <w:r w:rsidRPr="00F23791">
        <w:rPr>
          <w:b/>
          <w:color w:val="333333"/>
          <w:sz w:val="36"/>
          <w:szCs w:val="36"/>
        </w:rPr>
        <w:t>Write on a named bacterial protein synthesis inhibitor, stating its mechanism of action, indication for use, toxicity and adverse effects</w:t>
      </w:r>
    </w:p>
    <w:p w:rsidR="00F23791" w:rsidRDefault="00F23791" w:rsidP="0064480C">
      <w:pPr>
        <w:pStyle w:val="Heading3"/>
        <w:jc w:val="both"/>
        <w:rPr>
          <w:sz w:val="40"/>
          <w:szCs w:val="40"/>
          <w:u w:val="single"/>
        </w:rPr>
      </w:pPr>
      <w:r w:rsidRPr="00F23791">
        <w:rPr>
          <w:sz w:val="40"/>
          <w:szCs w:val="40"/>
          <w:u w:val="single"/>
        </w:rPr>
        <w:lastRenderedPageBreak/>
        <w:t>ANSWERS</w:t>
      </w:r>
    </w:p>
    <w:p w:rsidR="00F23791" w:rsidRDefault="00F23791" w:rsidP="0064480C">
      <w:pPr>
        <w:pStyle w:val="Heading3"/>
        <w:jc w:val="both"/>
        <w:rPr>
          <w:sz w:val="40"/>
          <w:szCs w:val="40"/>
        </w:rPr>
      </w:pPr>
      <w:r>
        <w:rPr>
          <w:sz w:val="40"/>
          <w:szCs w:val="40"/>
        </w:rPr>
        <w:t xml:space="preserve">The named bacteria protein synthesis inhibitor is: </w:t>
      </w:r>
      <w:r w:rsidRPr="002F28EF">
        <w:rPr>
          <w:sz w:val="40"/>
          <w:szCs w:val="40"/>
          <w:u w:val="single"/>
        </w:rPr>
        <w:t>AMINOGLYCOSIDES</w:t>
      </w:r>
      <w:r>
        <w:rPr>
          <w:sz w:val="40"/>
          <w:szCs w:val="40"/>
        </w:rPr>
        <w:t>.</w:t>
      </w:r>
    </w:p>
    <w:p w:rsidR="00FE7A88" w:rsidRPr="00860FC1" w:rsidRDefault="00FE7A88" w:rsidP="0064480C">
      <w:pPr>
        <w:pStyle w:val="ListParagraph"/>
        <w:numPr>
          <w:ilvl w:val="0"/>
          <w:numId w:val="5"/>
        </w:numPr>
        <w:jc w:val="both"/>
        <w:rPr>
          <w:rFonts w:ascii="Times New Roman" w:hAnsi="Times New Roman" w:cs="Times New Roman"/>
          <w:sz w:val="32"/>
          <w:szCs w:val="32"/>
          <w:shd w:val="clear" w:color="auto" w:fill="FFFFFF"/>
        </w:rPr>
      </w:pPr>
      <w:r w:rsidRPr="00860FC1">
        <w:rPr>
          <w:rFonts w:ascii="Times New Roman" w:hAnsi="Times New Roman" w:cs="Times New Roman"/>
          <w:sz w:val="32"/>
          <w:szCs w:val="32"/>
          <w:shd w:val="clear" w:color="auto" w:fill="FFFFFF"/>
        </w:rPr>
        <w:t>Aminoglycosides are large, highly polar antibacterial drugs that bind to the 30S subunit of bacterial ribosomes, impairing the proofreading ability of the ribosomal complex. This impairment causes mismatches between codons and anticodons, resulting in the production of proteins with incorrect amino acids and shortened proteins that insert into the cytoplasmic membrane. Disruption of the cytoplasmic membrane by the faulty proteins kills the bacterial cells. </w:t>
      </w:r>
    </w:p>
    <w:p w:rsidR="00F23791" w:rsidRPr="00FE7A88" w:rsidRDefault="00F23791" w:rsidP="0064480C">
      <w:pPr>
        <w:pStyle w:val="NormalWeb"/>
        <w:numPr>
          <w:ilvl w:val="0"/>
          <w:numId w:val="5"/>
        </w:numPr>
        <w:spacing w:before="75" w:beforeAutospacing="0" w:after="240" w:afterAutospacing="0" w:line="360" w:lineRule="atLeast"/>
        <w:jc w:val="both"/>
        <w:rPr>
          <w:sz w:val="32"/>
          <w:szCs w:val="32"/>
        </w:rPr>
      </w:pPr>
      <w:r w:rsidRPr="00FE7A88">
        <w:rPr>
          <w:sz w:val="32"/>
          <w:szCs w:val="32"/>
        </w:rPr>
        <w:t>The aminoglycoside antimicrobials have a long and controversial history. First developed in the 1940s, they are derived from antimicrobial substances produced by the soil dwelling bacterial species </w:t>
      </w:r>
      <w:r w:rsidRPr="00FE7A88">
        <w:rPr>
          <w:i/>
          <w:iCs/>
          <w:sz w:val="32"/>
          <w:szCs w:val="32"/>
        </w:rPr>
        <w:t>Streptomyces</w:t>
      </w:r>
      <w:r w:rsidRPr="00FE7A88">
        <w:rPr>
          <w:sz w:val="32"/>
          <w:szCs w:val="32"/>
        </w:rPr>
        <w:t> and </w:t>
      </w:r>
      <w:r w:rsidRPr="00FE7A88">
        <w:rPr>
          <w:i/>
          <w:iCs/>
          <w:sz w:val="32"/>
          <w:szCs w:val="32"/>
        </w:rPr>
        <w:t>Micromonospora.</w:t>
      </w:r>
      <w:r w:rsidRPr="00FE7A88">
        <w:rPr>
          <w:sz w:val="32"/>
          <w:szCs w:val="32"/>
        </w:rPr>
        <w:t> The ‘workhorse’ of aminoglycosides, gentamicin, has been used for the treatment of serious Gram</w:t>
      </w:r>
      <w:r w:rsidRPr="00FE7A88">
        <w:rPr>
          <w:rFonts w:ascii="Cambria Math" w:hAnsi="Cambria Math" w:cs="Cambria Math"/>
          <w:sz w:val="32"/>
          <w:szCs w:val="32"/>
        </w:rPr>
        <w:t>‐</w:t>
      </w:r>
      <w:r w:rsidRPr="00FE7A88">
        <w:rPr>
          <w:sz w:val="32"/>
          <w:szCs w:val="32"/>
        </w:rPr>
        <w:t>negative bacterial infections since the early 1960s and continues in this role today</w:t>
      </w:r>
      <w:r w:rsidR="00FE7A88" w:rsidRPr="00FE7A88">
        <w:rPr>
          <w:sz w:val="32"/>
          <w:szCs w:val="32"/>
        </w:rPr>
        <w:t>.</w:t>
      </w:r>
    </w:p>
    <w:p w:rsidR="00F23791" w:rsidRDefault="00F23791" w:rsidP="0064480C">
      <w:pPr>
        <w:pStyle w:val="NormalWeb"/>
        <w:numPr>
          <w:ilvl w:val="0"/>
          <w:numId w:val="5"/>
        </w:numPr>
        <w:spacing w:before="75" w:beforeAutospacing="0" w:after="240" w:afterAutospacing="0" w:line="360" w:lineRule="atLeast"/>
        <w:jc w:val="both"/>
        <w:rPr>
          <w:sz w:val="32"/>
          <w:szCs w:val="32"/>
        </w:rPr>
      </w:pPr>
      <w:r w:rsidRPr="00FE7A88">
        <w:rPr>
          <w:sz w:val="32"/>
          <w:szCs w:val="32"/>
        </w:rPr>
        <w:t>The three commonly used parenteral agents are gentamicin, tobramycin and amikacin. Other r</w:t>
      </w:r>
      <w:r w:rsidR="00860FC1">
        <w:rPr>
          <w:sz w:val="32"/>
          <w:szCs w:val="32"/>
        </w:rPr>
        <w:t xml:space="preserve">outes of administration include </w:t>
      </w:r>
      <w:r w:rsidRPr="00FE7A88">
        <w:rPr>
          <w:sz w:val="32"/>
          <w:szCs w:val="32"/>
        </w:rPr>
        <w:t>inhalation through a nebulizer (tobramycin), intra</w:t>
      </w:r>
      <w:r w:rsidR="00860FC1">
        <w:rPr>
          <w:sz w:val="32"/>
          <w:szCs w:val="32"/>
        </w:rPr>
        <w:t>-</w:t>
      </w:r>
      <w:r w:rsidRPr="00FE7A88">
        <w:rPr>
          <w:sz w:val="32"/>
          <w:szCs w:val="32"/>
        </w:rPr>
        <w:t>peritoneal and intra</w:t>
      </w:r>
      <w:r w:rsidR="00860FC1">
        <w:rPr>
          <w:sz w:val="32"/>
          <w:szCs w:val="32"/>
        </w:rPr>
        <w:t>-</w:t>
      </w:r>
      <w:r w:rsidRPr="00FE7A88">
        <w:rPr>
          <w:sz w:val="32"/>
          <w:szCs w:val="32"/>
        </w:rPr>
        <w:t>ventricular administration (gentamicin). Two further agents paromomycin and neomycin are used orally for their bowel intra</w:t>
      </w:r>
      <w:r w:rsidRPr="00FE7A88">
        <w:rPr>
          <w:rFonts w:ascii="Cambria Math" w:hAnsi="Cambria Math" w:cs="Cambria Math"/>
          <w:sz w:val="32"/>
          <w:szCs w:val="32"/>
        </w:rPr>
        <w:t>‐</w:t>
      </w:r>
      <w:r w:rsidRPr="00FE7A88">
        <w:rPr>
          <w:sz w:val="32"/>
          <w:szCs w:val="32"/>
        </w:rPr>
        <w:t>luminal activity, as they are not systemically absorbed.</w:t>
      </w:r>
      <w:r w:rsidR="00FE7A88">
        <w:rPr>
          <w:b/>
          <w:bCs/>
          <w:sz w:val="32"/>
          <w:szCs w:val="32"/>
        </w:rPr>
        <w:t xml:space="preserve"> </w:t>
      </w:r>
      <w:r w:rsidRPr="00FE7A88">
        <w:rPr>
          <w:sz w:val="32"/>
          <w:szCs w:val="32"/>
        </w:rPr>
        <w:t>Streptomycin, the first aminoglycoside agent in widespread use, along with netilmicin and kanamycin are now infrequently used.</w:t>
      </w:r>
    </w:p>
    <w:p w:rsidR="002F28EF" w:rsidRDefault="002F28EF" w:rsidP="0064480C">
      <w:pPr>
        <w:pStyle w:val="NormalWeb"/>
        <w:spacing w:before="75" w:beforeAutospacing="0" w:after="240" w:afterAutospacing="0" w:line="360" w:lineRule="atLeast"/>
        <w:jc w:val="both"/>
        <w:rPr>
          <w:sz w:val="40"/>
          <w:szCs w:val="40"/>
        </w:rPr>
      </w:pPr>
      <w:r>
        <w:rPr>
          <w:b/>
          <w:sz w:val="40"/>
          <w:szCs w:val="40"/>
          <w:u w:val="single"/>
        </w:rPr>
        <w:t>MECHANISM OF ACTION</w:t>
      </w:r>
    </w:p>
    <w:p w:rsidR="00622AA3" w:rsidRPr="00622AA3" w:rsidRDefault="00622AA3" w:rsidP="0064480C">
      <w:pPr>
        <w:pStyle w:val="NormalWeb"/>
        <w:numPr>
          <w:ilvl w:val="0"/>
          <w:numId w:val="2"/>
        </w:numPr>
        <w:shd w:val="clear" w:color="auto" w:fill="FFFFFF"/>
        <w:spacing w:before="0" w:beforeAutospacing="0" w:after="240" w:afterAutospacing="0" w:line="330" w:lineRule="atLeast"/>
        <w:jc w:val="both"/>
        <w:rPr>
          <w:spacing w:val="2"/>
          <w:sz w:val="32"/>
          <w:szCs w:val="32"/>
        </w:rPr>
      </w:pPr>
      <w:r w:rsidRPr="00622AA3">
        <w:rPr>
          <w:spacing w:val="2"/>
          <w:sz w:val="32"/>
          <w:szCs w:val="32"/>
        </w:rPr>
        <w:t xml:space="preserve">Aminoglycosides are more effective against rapidly multiplying organisms, and they affect and ultimately destroy bacteria by </w:t>
      </w:r>
      <w:r w:rsidRPr="00622AA3">
        <w:rPr>
          <w:spacing w:val="2"/>
          <w:sz w:val="32"/>
          <w:szCs w:val="32"/>
        </w:rPr>
        <w:lastRenderedPageBreak/>
        <w:t>several mechanisms. They need only a short contact with bacteria to kill them and, as such, are concentration dependent in</w:t>
      </w:r>
      <w:r w:rsidR="00860FC1">
        <w:rPr>
          <w:spacing w:val="2"/>
          <w:sz w:val="32"/>
          <w:szCs w:val="32"/>
        </w:rPr>
        <w:t xml:space="preserve"> their </w:t>
      </w:r>
      <w:r w:rsidRPr="00622AA3">
        <w:rPr>
          <w:spacing w:val="2"/>
          <w:sz w:val="32"/>
          <w:szCs w:val="32"/>
        </w:rPr>
        <w:t>actions. Their main site of action is the membrane-associated bacterial ribosome through which they interfere with protein synthesis. To reach the ribosome, they must first cross the lipopolysaccharide (LPS) covering (gram-negative organisms), the bacterial cell wall, and finally the cell membrane. Because of the polarity of these compounds, a specialized active transport process is required.</w:t>
      </w:r>
    </w:p>
    <w:p w:rsidR="00622AA3" w:rsidRPr="00622AA3" w:rsidRDefault="00622AA3" w:rsidP="0064480C">
      <w:pPr>
        <w:pStyle w:val="NormalWeb"/>
        <w:numPr>
          <w:ilvl w:val="0"/>
          <w:numId w:val="2"/>
        </w:numPr>
        <w:shd w:val="clear" w:color="auto" w:fill="FFFFFF"/>
        <w:spacing w:before="0" w:beforeAutospacing="0" w:after="0" w:afterAutospacing="0" w:line="330" w:lineRule="atLeast"/>
        <w:jc w:val="both"/>
        <w:rPr>
          <w:spacing w:val="2"/>
          <w:sz w:val="32"/>
          <w:szCs w:val="32"/>
        </w:rPr>
      </w:pPr>
      <w:r w:rsidRPr="00622AA3">
        <w:rPr>
          <w:spacing w:val="2"/>
          <w:sz w:val="32"/>
          <w:szCs w:val="32"/>
        </w:rPr>
        <w:t xml:space="preserve">The first concentration-dependent step requires binding of the cationic aminoglycoside to anionic components in the cell membrane. The subsequent steps are energy dependent and involve the transport of the polar, highly charged cationic aminoglycoside across the cytoplasmic membrane, followed by interaction with the ribosomes. The driving force for this transfer is probably the membrane potential. These processes are much more efficient if the energy used is aerobically generated. The efficacy of the aminoglycosides is markedly curtailed in an anaerobic environment. Aminoglycosides are associated with a </w:t>
      </w:r>
      <w:r w:rsidR="00931708" w:rsidRPr="00622AA3">
        <w:rPr>
          <w:spacing w:val="2"/>
          <w:sz w:val="32"/>
          <w:szCs w:val="32"/>
        </w:rPr>
        <w:t>post antibiotic</w:t>
      </w:r>
      <w:r w:rsidRPr="00622AA3">
        <w:rPr>
          <w:spacing w:val="2"/>
          <w:sz w:val="32"/>
          <w:szCs w:val="32"/>
        </w:rPr>
        <w:t xml:space="preserve"> effect in a number of bacteria, principally gram-negative (e</w:t>
      </w:r>
      <w:r w:rsidR="00931708">
        <w:rPr>
          <w:spacing w:val="2"/>
          <w:sz w:val="32"/>
          <w:szCs w:val="32"/>
        </w:rPr>
        <w:t>.</w:t>
      </w:r>
      <w:r w:rsidRPr="00622AA3">
        <w:rPr>
          <w:spacing w:val="2"/>
          <w:sz w:val="32"/>
          <w:szCs w:val="32"/>
        </w:rPr>
        <w:t>g</w:t>
      </w:r>
      <w:r w:rsidR="00931708">
        <w:rPr>
          <w:spacing w:val="2"/>
          <w:sz w:val="32"/>
          <w:szCs w:val="32"/>
        </w:rPr>
        <w:t>.</w:t>
      </w:r>
      <w:r w:rsidRPr="00622AA3">
        <w:rPr>
          <w:spacing w:val="2"/>
          <w:sz w:val="32"/>
          <w:szCs w:val="32"/>
        </w:rPr>
        <w:t> </w:t>
      </w:r>
      <w:r w:rsidRPr="00622AA3">
        <w:rPr>
          <w:i/>
          <w:iCs/>
          <w:spacing w:val="2"/>
          <w:sz w:val="32"/>
          <w:szCs w:val="32"/>
        </w:rPr>
        <w:t>E coli</w:t>
      </w:r>
      <w:r w:rsidRPr="00622AA3">
        <w:rPr>
          <w:spacing w:val="2"/>
          <w:sz w:val="32"/>
          <w:szCs w:val="32"/>
        </w:rPr>
        <w:t>, </w:t>
      </w:r>
      <w:r w:rsidRPr="00622AA3">
        <w:rPr>
          <w:i/>
          <w:iCs/>
          <w:spacing w:val="2"/>
          <w:sz w:val="32"/>
          <w:szCs w:val="32"/>
        </w:rPr>
        <w:t>Klebsiella pneumoniae</w:t>
      </w:r>
      <w:r w:rsidRPr="00622AA3">
        <w:rPr>
          <w:spacing w:val="2"/>
          <w:sz w:val="32"/>
          <w:szCs w:val="32"/>
        </w:rPr>
        <w:t>, </w:t>
      </w:r>
      <w:r w:rsidR="00860FC1">
        <w:rPr>
          <w:i/>
          <w:iCs/>
          <w:spacing w:val="2"/>
          <w:sz w:val="32"/>
          <w:szCs w:val="32"/>
        </w:rPr>
        <w:t xml:space="preserve">and P </w:t>
      </w:r>
      <w:r w:rsidRPr="00622AA3">
        <w:rPr>
          <w:i/>
          <w:iCs/>
          <w:spacing w:val="2"/>
          <w:sz w:val="32"/>
          <w:szCs w:val="32"/>
        </w:rPr>
        <w:t>aeruginosa</w:t>
      </w:r>
      <w:r w:rsidRPr="00622AA3">
        <w:rPr>
          <w:spacing w:val="2"/>
          <w:sz w:val="32"/>
          <w:szCs w:val="32"/>
        </w:rPr>
        <w:t>). T</w:t>
      </w:r>
      <w:r w:rsidR="00860FC1">
        <w:rPr>
          <w:spacing w:val="2"/>
          <w:sz w:val="32"/>
          <w:szCs w:val="32"/>
        </w:rPr>
        <w:t>he effect generally lasts 2–8 hours</w:t>
      </w:r>
      <w:r w:rsidRPr="00622AA3">
        <w:rPr>
          <w:spacing w:val="2"/>
          <w:sz w:val="32"/>
          <w:szCs w:val="32"/>
        </w:rPr>
        <w:t xml:space="preserve"> after exposure and allows for dosing intervals longer than the half-lives of the drugs.</w:t>
      </w:r>
    </w:p>
    <w:p w:rsidR="00622AA3" w:rsidRDefault="00622AA3" w:rsidP="0064480C">
      <w:pPr>
        <w:pStyle w:val="NormalWeb"/>
        <w:numPr>
          <w:ilvl w:val="0"/>
          <w:numId w:val="2"/>
        </w:numPr>
        <w:shd w:val="clear" w:color="auto" w:fill="FFFFFF"/>
        <w:spacing w:before="0" w:beforeAutospacing="0" w:after="240" w:afterAutospacing="0" w:line="330" w:lineRule="atLeast"/>
        <w:jc w:val="both"/>
        <w:rPr>
          <w:spacing w:val="2"/>
          <w:sz w:val="32"/>
          <w:szCs w:val="32"/>
        </w:rPr>
      </w:pPr>
      <w:r w:rsidRPr="00622AA3">
        <w:rPr>
          <w:spacing w:val="2"/>
          <w:sz w:val="32"/>
          <w:szCs w:val="32"/>
        </w:rPr>
        <w:t>Several features of these mechanisms a</w:t>
      </w:r>
      <w:r w:rsidRPr="00622AA3">
        <w:rPr>
          <w:spacing w:val="2"/>
          <w:sz w:val="32"/>
          <w:szCs w:val="32"/>
        </w:rPr>
        <w:t>re of clinical significance:</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The</w:t>
      </w:r>
      <w:r w:rsidRPr="00622AA3">
        <w:rPr>
          <w:spacing w:val="2"/>
          <w:sz w:val="32"/>
          <w:szCs w:val="32"/>
        </w:rPr>
        <w:t xml:space="preserve"> antibacterial activity of the aminoglycosides depends on an effective concentration of antibiotic outside the cell.</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Anaerobic bacteria and induced mutants are generally resistant, because they lack appropriate transport systems.</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 xml:space="preserve"> With low oxygen tension, as in hypoxic tissues, transfer into bacteria is diminished. </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lastRenderedPageBreak/>
        <w:t>Divalent cations (e</w:t>
      </w:r>
      <w:r w:rsidR="00860FC1">
        <w:rPr>
          <w:spacing w:val="2"/>
          <w:sz w:val="32"/>
          <w:szCs w:val="32"/>
        </w:rPr>
        <w:t xml:space="preserve">. g </w:t>
      </w:r>
      <w:r w:rsidRPr="00622AA3">
        <w:rPr>
          <w:spacing w:val="2"/>
          <w:sz w:val="32"/>
          <w:szCs w:val="32"/>
        </w:rPr>
        <w:t>calcium and magnesium) located in the LPS, cell wall, or membrane can interfere with transpo</w:t>
      </w:r>
      <w:r w:rsidR="00860FC1">
        <w:rPr>
          <w:spacing w:val="2"/>
          <w:sz w:val="32"/>
          <w:szCs w:val="32"/>
        </w:rPr>
        <w:t xml:space="preserve">rt into </w:t>
      </w:r>
      <w:r w:rsidRPr="00622AA3">
        <w:rPr>
          <w:spacing w:val="2"/>
          <w:sz w:val="32"/>
          <w:szCs w:val="32"/>
        </w:rPr>
        <w:t>bacteria because they can combine with the specific anionic sites and exclude the cationic aminoglycosides.</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 xml:space="preserve">Passive movement of aminoglycosides across bacterial cell membranes is facilitated by an alkaline pH; a low pH may increase membrane resistance more than 100-fold. </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 xml:space="preserve">Changes in osmolality also can alter the uptake of aminoglycosides. </w:t>
      </w:r>
    </w:p>
    <w:p w:rsid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 xml:space="preserve">Some aminoglycosides are transported more efficiently than others and thus tend to have </w:t>
      </w:r>
      <w:r>
        <w:rPr>
          <w:spacing w:val="2"/>
          <w:sz w:val="32"/>
          <w:szCs w:val="32"/>
        </w:rPr>
        <w:t>greater antibacterial activity.</w:t>
      </w:r>
    </w:p>
    <w:p w:rsidR="00622AA3" w:rsidRPr="00622AA3" w:rsidRDefault="00622AA3" w:rsidP="0064480C">
      <w:pPr>
        <w:pStyle w:val="NormalWeb"/>
        <w:numPr>
          <w:ilvl w:val="0"/>
          <w:numId w:val="1"/>
        </w:numPr>
        <w:shd w:val="clear" w:color="auto" w:fill="FFFFFF"/>
        <w:spacing w:before="0" w:beforeAutospacing="0" w:after="240" w:afterAutospacing="0" w:line="330" w:lineRule="atLeast"/>
        <w:jc w:val="both"/>
        <w:rPr>
          <w:spacing w:val="2"/>
          <w:sz w:val="32"/>
          <w:szCs w:val="32"/>
        </w:rPr>
      </w:pPr>
      <w:r w:rsidRPr="00622AA3">
        <w:rPr>
          <w:spacing w:val="2"/>
          <w:sz w:val="32"/>
          <w:szCs w:val="32"/>
        </w:rPr>
        <w:t>Synergism is common when aminoglycosides and β-lactam antibiotics (</w:t>
      </w:r>
      <w:r w:rsidR="00931708" w:rsidRPr="00622AA3">
        <w:rPr>
          <w:spacing w:val="2"/>
          <w:sz w:val="32"/>
          <w:szCs w:val="32"/>
        </w:rPr>
        <w:t>penicillin</w:t>
      </w:r>
      <w:r w:rsidRPr="00622AA3">
        <w:rPr>
          <w:spacing w:val="2"/>
          <w:sz w:val="32"/>
          <w:szCs w:val="32"/>
        </w:rPr>
        <w:t xml:space="preserve"> and cephalosporins) are used in combination. The cell-wall injury induced by the β-lactam compounds allows increased uptake of the aminoglycoside by the bacteria because of easier accessibility to the bacterial cell membrane.</w:t>
      </w:r>
    </w:p>
    <w:p w:rsidR="00622AA3" w:rsidRPr="00622AA3" w:rsidRDefault="00622AA3" w:rsidP="0064480C">
      <w:pPr>
        <w:pStyle w:val="NormalWeb"/>
        <w:numPr>
          <w:ilvl w:val="0"/>
          <w:numId w:val="3"/>
        </w:numPr>
        <w:shd w:val="clear" w:color="auto" w:fill="FFFFFF"/>
        <w:spacing w:before="0" w:beforeAutospacing="0" w:after="240" w:afterAutospacing="0" w:line="330" w:lineRule="atLeast"/>
        <w:jc w:val="both"/>
        <w:rPr>
          <w:spacing w:val="2"/>
          <w:sz w:val="32"/>
          <w:szCs w:val="32"/>
        </w:rPr>
      </w:pPr>
      <w:r w:rsidRPr="00622AA3">
        <w:rPr>
          <w:spacing w:val="2"/>
          <w:sz w:val="32"/>
          <w:szCs w:val="32"/>
        </w:rPr>
        <w:t>The intracellular site of action of the aminoglycosides is the ribosome, which is irreversibly bound by aminoglycosides, particularly at the 30 S but also the 50 S subunits (which comprise the 70 S subunit). Variability occurs between aminoglycosides with respect to their affinity and degree of binding. The number of steps in protein synthesis that are affected also varies. Spectinomycin cannot induce misreading of the mRNA and often is not bactericidal, in contrast to the other bactericidal members. However, at low concentrations, all aminoglycosides may be only bacteriostatic.</w:t>
      </w:r>
      <w:r w:rsidRPr="00622AA3">
        <w:rPr>
          <w:spacing w:val="2"/>
          <w:sz w:val="32"/>
          <w:szCs w:val="32"/>
        </w:rPr>
        <w:t xml:space="preserve"> </w:t>
      </w:r>
      <w:r w:rsidRPr="00622AA3">
        <w:rPr>
          <w:spacing w:val="2"/>
          <w:sz w:val="32"/>
          <w:szCs w:val="32"/>
        </w:rPr>
        <w:t>Efficacy of aminoglycosides is enhanced if peak plasma or tissue drug concentrations exceed MIC by 10–12 times. Once-daily dosing has been used to enhance both efficacy and safety.</w:t>
      </w:r>
    </w:p>
    <w:p w:rsidR="00622AA3" w:rsidRPr="00E5234A" w:rsidRDefault="00622AA3" w:rsidP="0064480C">
      <w:pPr>
        <w:pStyle w:val="NormalWeb"/>
        <w:shd w:val="clear" w:color="auto" w:fill="FFFFFF"/>
        <w:spacing w:before="0" w:beforeAutospacing="0" w:after="240" w:afterAutospacing="0" w:line="330" w:lineRule="atLeast"/>
        <w:jc w:val="both"/>
        <w:rPr>
          <w:b/>
          <w:spacing w:val="2"/>
          <w:sz w:val="40"/>
          <w:szCs w:val="40"/>
          <w:u w:val="single"/>
        </w:rPr>
      </w:pPr>
    </w:p>
    <w:p w:rsidR="00622AA3" w:rsidRDefault="00622AA3" w:rsidP="0064480C">
      <w:pPr>
        <w:pStyle w:val="NormalWeb"/>
        <w:numPr>
          <w:ilvl w:val="0"/>
          <w:numId w:val="3"/>
        </w:numPr>
        <w:shd w:val="clear" w:color="auto" w:fill="FFFFFF"/>
        <w:spacing w:before="0" w:beforeAutospacing="0" w:after="240" w:afterAutospacing="0" w:line="330" w:lineRule="atLeast"/>
        <w:jc w:val="both"/>
        <w:rPr>
          <w:spacing w:val="2"/>
          <w:sz w:val="32"/>
          <w:szCs w:val="32"/>
        </w:rPr>
      </w:pPr>
      <w:r w:rsidRPr="00622AA3">
        <w:rPr>
          <w:spacing w:val="2"/>
          <w:sz w:val="32"/>
          <w:szCs w:val="32"/>
        </w:rPr>
        <w:t>Finally, a</w:t>
      </w:r>
      <w:r w:rsidRPr="00622AA3">
        <w:rPr>
          <w:spacing w:val="2"/>
          <w:sz w:val="32"/>
          <w:szCs w:val="32"/>
        </w:rPr>
        <w:t xml:space="preserve"> cell-membrane effect also occurs with aminoglycosides. The functional integrity of the bacterial cell membrane is lost during the late phase of the transport process, and high concentrations of aminoglycosides may cause nonspecific membrane toxicity, even to the point of bacterial cell lysis.</w:t>
      </w:r>
    </w:p>
    <w:p w:rsidR="00622AA3" w:rsidRDefault="00E5234A" w:rsidP="0064480C">
      <w:pPr>
        <w:jc w:val="both"/>
        <w:rPr>
          <w:rFonts w:ascii="Times New Roman" w:hAnsi="Times New Roman" w:cs="Times New Roman"/>
          <w:b/>
          <w:spacing w:val="2"/>
          <w:sz w:val="40"/>
          <w:szCs w:val="40"/>
          <w:u w:val="single"/>
        </w:rPr>
      </w:pPr>
      <w:r>
        <w:rPr>
          <w:rFonts w:ascii="Times New Roman" w:hAnsi="Times New Roman" w:cs="Times New Roman"/>
          <w:b/>
          <w:spacing w:val="2"/>
          <w:sz w:val="40"/>
          <w:szCs w:val="40"/>
          <w:u w:val="single"/>
        </w:rPr>
        <w:t>INDICATIONS FOR USE</w:t>
      </w:r>
    </w:p>
    <w:p w:rsidR="00E5234A" w:rsidRPr="00E5234A" w:rsidRDefault="00E5234A" w:rsidP="0064480C">
      <w:pPr>
        <w:jc w:val="both"/>
        <w:rPr>
          <w:rFonts w:ascii="Times New Roman" w:hAnsi="Times New Roman" w:cs="Times New Roman"/>
          <w:sz w:val="32"/>
          <w:szCs w:val="32"/>
        </w:rPr>
      </w:pPr>
      <w:r w:rsidRPr="00E5234A">
        <w:rPr>
          <w:rFonts w:ascii="Times New Roman" w:hAnsi="Times New Roman" w:cs="Times New Roman"/>
          <w:sz w:val="32"/>
          <w:szCs w:val="32"/>
        </w:rPr>
        <w:t>Aminoglycosides are useful primarily in infections involving </w:t>
      </w:r>
      <w:r w:rsidRPr="00E5234A">
        <w:rPr>
          <w:rFonts w:ascii="Times New Roman" w:hAnsi="Times New Roman" w:cs="Times New Roman"/>
          <w:sz w:val="32"/>
          <w:szCs w:val="32"/>
        </w:rPr>
        <w:t>aerobic</w:t>
      </w:r>
      <w:r w:rsidRPr="00E5234A">
        <w:rPr>
          <w:rFonts w:ascii="Times New Roman" w:hAnsi="Times New Roman" w:cs="Times New Roman"/>
          <w:sz w:val="32"/>
          <w:szCs w:val="32"/>
        </w:rPr>
        <w:t>, </w:t>
      </w:r>
      <w:r w:rsidRPr="00FB5581">
        <w:rPr>
          <w:rFonts w:ascii="Times New Roman" w:hAnsi="Times New Roman" w:cs="Times New Roman"/>
          <w:sz w:val="32"/>
          <w:szCs w:val="32"/>
        </w:rPr>
        <w:t>Gram-negative</w:t>
      </w:r>
      <w:r w:rsidR="00FB5581">
        <w:rPr>
          <w:rFonts w:ascii="Times New Roman" w:hAnsi="Times New Roman" w:cs="Times New Roman"/>
          <w:sz w:val="32"/>
          <w:szCs w:val="32"/>
        </w:rPr>
        <w:t xml:space="preserve"> </w:t>
      </w:r>
      <w:r w:rsidRPr="00E5234A">
        <w:rPr>
          <w:rFonts w:ascii="Times New Roman" w:hAnsi="Times New Roman" w:cs="Times New Roman"/>
          <w:sz w:val="32"/>
          <w:szCs w:val="32"/>
        </w:rPr>
        <w:t>bacteria, such as </w:t>
      </w:r>
      <w:r w:rsidRPr="00FB5581">
        <w:rPr>
          <w:rFonts w:ascii="Times New Roman" w:hAnsi="Times New Roman" w:cs="Times New Roman"/>
          <w:i/>
          <w:iCs/>
          <w:sz w:val="32"/>
          <w:szCs w:val="32"/>
        </w:rPr>
        <w:t>Pseudomonas</w:t>
      </w:r>
      <w:r w:rsidRPr="00E5234A">
        <w:rPr>
          <w:rFonts w:ascii="Times New Roman" w:hAnsi="Times New Roman" w:cs="Times New Roman"/>
          <w:sz w:val="32"/>
          <w:szCs w:val="32"/>
        </w:rPr>
        <w:t>, </w:t>
      </w:r>
      <w:r w:rsidRPr="00FB5581">
        <w:rPr>
          <w:rFonts w:ascii="Times New Roman" w:hAnsi="Times New Roman" w:cs="Times New Roman"/>
          <w:i/>
          <w:iCs/>
          <w:sz w:val="32"/>
          <w:szCs w:val="32"/>
        </w:rPr>
        <w:t>Acinetobacter</w:t>
      </w:r>
      <w:r w:rsidRPr="00E5234A">
        <w:rPr>
          <w:rFonts w:ascii="Times New Roman" w:hAnsi="Times New Roman" w:cs="Times New Roman"/>
          <w:sz w:val="32"/>
          <w:szCs w:val="32"/>
        </w:rPr>
        <w:t>, and </w:t>
      </w:r>
      <w:r w:rsidRPr="00FB5581">
        <w:rPr>
          <w:rFonts w:ascii="Times New Roman" w:hAnsi="Times New Roman" w:cs="Times New Roman"/>
          <w:i/>
          <w:iCs/>
          <w:sz w:val="32"/>
          <w:szCs w:val="32"/>
        </w:rPr>
        <w:t>Enterobacter</w:t>
      </w:r>
      <w:r w:rsidR="00FB5581">
        <w:rPr>
          <w:rFonts w:ascii="Times New Roman" w:hAnsi="Times New Roman" w:cs="Times New Roman"/>
          <w:sz w:val="32"/>
          <w:szCs w:val="32"/>
        </w:rPr>
        <w:t xml:space="preserve">. </w:t>
      </w:r>
      <w:r w:rsidRPr="00E5234A">
        <w:rPr>
          <w:rFonts w:ascii="Times New Roman" w:hAnsi="Times New Roman" w:cs="Times New Roman"/>
          <w:sz w:val="32"/>
          <w:szCs w:val="32"/>
        </w:rPr>
        <w:t>In addition, some </w:t>
      </w:r>
      <w:r w:rsidRPr="00FB5581">
        <w:rPr>
          <w:rFonts w:ascii="Times New Roman" w:hAnsi="Times New Roman" w:cs="Times New Roman"/>
          <w:i/>
          <w:iCs/>
          <w:sz w:val="32"/>
          <w:szCs w:val="32"/>
        </w:rPr>
        <w:t>Mycobacteria</w:t>
      </w:r>
      <w:r w:rsidR="00FB5581">
        <w:rPr>
          <w:rFonts w:ascii="Times New Roman" w:hAnsi="Times New Roman" w:cs="Times New Roman"/>
          <w:sz w:val="32"/>
          <w:szCs w:val="32"/>
        </w:rPr>
        <w:t>,</w:t>
      </w:r>
      <w:r w:rsidRPr="00E5234A">
        <w:rPr>
          <w:rFonts w:ascii="Times New Roman" w:hAnsi="Times New Roman" w:cs="Times New Roman"/>
          <w:sz w:val="32"/>
          <w:szCs w:val="32"/>
        </w:rPr>
        <w:t xml:space="preserve"> including the bacteria that cause </w:t>
      </w:r>
      <w:r w:rsidRPr="00FB5581">
        <w:rPr>
          <w:rFonts w:ascii="Times New Roman" w:hAnsi="Times New Roman" w:cs="Times New Roman"/>
          <w:sz w:val="32"/>
          <w:szCs w:val="32"/>
        </w:rPr>
        <w:t>tuberculosis</w:t>
      </w:r>
      <w:r w:rsidR="00FB5581">
        <w:rPr>
          <w:rFonts w:ascii="Times New Roman" w:hAnsi="Times New Roman" w:cs="Times New Roman"/>
          <w:sz w:val="32"/>
          <w:szCs w:val="32"/>
        </w:rPr>
        <w:t xml:space="preserve">, </w:t>
      </w:r>
      <w:r w:rsidRPr="00E5234A">
        <w:rPr>
          <w:rFonts w:ascii="Times New Roman" w:hAnsi="Times New Roman" w:cs="Times New Roman"/>
          <w:sz w:val="32"/>
          <w:szCs w:val="32"/>
        </w:rPr>
        <w:t>are susceptible to aminoglycosides. Streptomycin was the first effective drug in the treatment of tuberculosis, though the role of aminoglycosides such as streptomycin and amikacin has been eclipsed (because of their toxicity and inconvenient route of administration) except for multiple-drug-resistant strains.</w:t>
      </w:r>
      <w:r w:rsidR="00FB5581">
        <w:rPr>
          <w:rFonts w:ascii="Times New Roman" w:hAnsi="Times New Roman" w:cs="Times New Roman"/>
          <w:sz w:val="32"/>
          <w:szCs w:val="32"/>
        </w:rPr>
        <w:t xml:space="preserve"> </w:t>
      </w:r>
      <w:r w:rsidRPr="00E5234A">
        <w:rPr>
          <w:rFonts w:ascii="Times New Roman" w:hAnsi="Times New Roman" w:cs="Times New Roman"/>
          <w:sz w:val="32"/>
          <w:szCs w:val="32"/>
        </w:rPr>
        <w:t>The most frequent use of aminoglycosides is empiric therapy for serious infections such as </w:t>
      </w:r>
      <w:r w:rsidRPr="00FB5581">
        <w:rPr>
          <w:rFonts w:ascii="Times New Roman" w:hAnsi="Times New Roman" w:cs="Times New Roman"/>
          <w:sz w:val="32"/>
          <w:szCs w:val="32"/>
        </w:rPr>
        <w:t>sepsis</w:t>
      </w:r>
      <w:r w:rsidR="00FB5581">
        <w:rPr>
          <w:rFonts w:ascii="Times New Roman" w:hAnsi="Times New Roman" w:cs="Times New Roman"/>
          <w:sz w:val="32"/>
          <w:szCs w:val="32"/>
        </w:rPr>
        <w:t xml:space="preserve">, </w:t>
      </w:r>
      <w:r w:rsidRPr="00E5234A">
        <w:rPr>
          <w:rFonts w:ascii="Times New Roman" w:hAnsi="Times New Roman" w:cs="Times New Roman"/>
          <w:sz w:val="32"/>
          <w:szCs w:val="32"/>
        </w:rPr>
        <w:t>complicated intra-abdominal infections, complicated urinary tract infections, and nosocomial respiratory tract infections. Usually, once cultures of the causal organism are grown and their susceptibilities tested, aminoglycosides are discontinued in favo</w:t>
      </w:r>
      <w:r w:rsidR="00FB5581">
        <w:rPr>
          <w:rFonts w:ascii="Times New Roman" w:hAnsi="Times New Roman" w:cs="Times New Roman"/>
          <w:sz w:val="32"/>
          <w:szCs w:val="32"/>
        </w:rPr>
        <w:t>r of less toxic antibiotics.</w:t>
      </w:r>
    </w:p>
    <w:p w:rsidR="00E5234A" w:rsidRPr="00E5234A" w:rsidRDefault="00E5234A" w:rsidP="0064480C">
      <w:pPr>
        <w:jc w:val="both"/>
        <w:rPr>
          <w:rFonts w:ascii="Times New Roman" w:hAnsi="Times New Roman" w:cs="Times New Roman"/>
          <w:sz w:val="32"/>
          <w:szCs w:val="32"/>
        </w:rPr>
      </w:pPr>
      <w:r w:rsidRPr="00E5234A">
        <w:rPr>
          <w:rFonts w:ascii="Times New Roman" w:hAnsi="Times New Roman" w:cs="Times New Roman"/>
          <w:sz w:val="32"/>
          <w:szCs w:val="32"/>
        </w:rPr>
        <w:t>As noted, aminoglycosides are mostly ineffective against anaerobic bacteria, fungi, and viruses. Infections caused by </w:t>
      </w:r>
      <w:r w:rsidRPr="00FB5581">
        <w:rPr>
          <w:rFonts w:ascii="Times New Roman" w:hAnsi="Times New Roman" w:cs="Times New Roman"/>
          <w:sz w:val="32"/>
          <w:szCs w:val="32"/>
        </w:rPr>
        <w:t>Gram-positive</w:t>
      </w:r>
      <w:r w:rsidRPr="00E5234A">
        <w:rPr>
          <w:rFonts w:ascii="Times New Roman" w:hAnsi="Times New Roman" w:cs="Times New Roman"/>
          <w:sz w:val="32"/>
          <w:szCs w:val="32"/>
        </w:rPr>
        <w:t> bacteria can also be treated with aminoglycosides, but other types of antibiotics are more potent and less damaging to the host. In the past, the aminoglycosides have been used in conjunction with beta-lactam antibiotics in streptococcal infections for their synergistic effects, in particular in </w:t>
      </w:r>
      <w:r w:rsidRPr="00FB5581">
        <w:rPr>
          <w:rFonts w:ascii="Times New Roman" w:hAnsi="Times New Roman" w:cs="Times New Roman"/>
          <w:sz w:val="32"/>
          <w:szCs w:val="32"/>
        </w:rPr>
        <w:t>endocarditis</w:t>
      </w:r>
      <w:r w:rsidR="00FB5581">
        <w:rPr>
          <w:rFonts w:ascii="Times New Roman" w:hAnsi="Times New Roman" w:cs="Times New Roman"/>
          <w:sz w:val="32"/>
          <w:szCs w:val="32"/>
        </w:rPr>
        <w:t>.</w:t>
      </w:r>
      <w:r w:rsidRPr="00E5234A">
        <w:rPr>
          <w:rFonts w:ascii="Times New Roman" w:hAnsi="Times New Roman" w:cs="Times New Roman"/>
          <w:sz w:val="32"/>
          <w:szCs w:val="32"/>
        </w:rPr>
        <w:t xml:space="preserve"> One of the most frequent combinations is </w:t>
      </w:r>
      <w:r w:rsidRPr="00FB5581">
        <w:rPr>
          <w:rFonts w:ascii="Times New Roman" w:hAnsi="Times New Roman" w:cs="Times New Roman"/>
          <w:sz w:val="32"/>
          <w:szCs w:val="32"/>
        </w:rPr>
        <w:t>ampicillin</w:t>
      </w:r>
      <w:r w:rsidRPr="00E5234A">
        <w:rPr>
          <w:rFonts w:ascii="Times New Roman" w:hAnsi="Times New Roman" w:cs="Times New Roman"/>
          <w:sz w:val="32"/>
          <w:szCs w:val="32"/>
        </w:rPr>
        <w:t> (a </w:t>
      </w:r>
      <w:r w:rsidRPr="00FB5581">
        <w:rPr>
          <w:rFonts w:ascii="Times New Roman" w:hAnsi="Times New Roman" w:cs="Times New Roman"/>
          <w:sz w:val="32"/>
          <w:szCs w:val="32"/>
        </w:rPr>
        <w:t>beta-lactam</w:t>
      </w:r>
      <w:r w:rsidR="00FB5581">
        <w:rPr>
          <w:rFonts w:ascii="Times New Roman" w:hAnsi="Times New Roman" w:cs="Times New Roman"/>
          <w:sz w:val="32"/>
          <w:szCs w:val="32"/>
        </w:rPr>
        <w:t>,</w:t>
      </w:r>
      <w:r w:rsidRPr="00E5234A">
        <w:rPr>
          <w:rFonts w:ascii="Times New Roman" w:hAnsi="Times New Roman" w:cs="Times New Roman"/>
          <w:sz w:val="32"/>
          <w:szCs w:val="32"/>
        </w:rPr>
        <w:t xml:space="preserve"> or penicillin-related antibiotic) and </w:t>
      </w:r>
      <w:r w:rsidRPr="00E5234A">
        <w:rPr>
          <w:rFonts w:ascii="Times New Roman" w:hAnsi="Times New Roman" w:cs="Times New Roman"/>
          <w:sz w:val="32"/>
          <w:szCs w:val="32"/>
        </w:rPr>
        <w:lastRenderedPageBreak/>
        <w:t>gentamicin. Often, hospital staff refer to this combination as "amp and gent" or more recently called "pen and gent" for penicillin and gentamicin.</w:t>
      </w:r>
    </w:p>
    <w:p w:rsidR="00622AA3" w:rsidRDefault="00FB5581" w:rsidP="0064480C">
      <w:pPr>
        <w:pStyle w:val="NormalWeb"/>
        <w:shd w:val="clear" w:color="auto" w:fill="FFFFFF"/>
        <w:spacing w:before="0" w:beforeAutospacing="0" w:after="240" w:afterAutospacing="0" w:line="330" w:lineRule="atLeast"/>
        <w:jc w:val="both"/>
        <w:rPr>
          <w:b/>
          <w:spacing w:val="2"/>
          <w:sz w:val="40"/>
          <w:szCs w:val="40"/>
          <w:u w:val="single"/>
        </w:rPr>
      </w:pPr>
      <w:r>
        <w:rPr>
          <w:b/>
          <w:spacing w:val="2"/>
          <w:sz w:val="40"/>
          <w:szCs w:val="40"/>
          <w:u w:val="single"/>
        </w:rPr>
        <w:t>TOXICITY AND ADVERSE EFFECT</w:t>
      </w:r>
    </w:p>
    <w:p w:rsidR="00A37E7A" w:rsidRDefault="00FB5581" w:rsidP="0064480C">
      <w:pPr>
        <w:pStyle w:val="ListParagraph"/>
        <w:numPr>
          <w:ilvl w:val="0"/>
          <w:numId w:val="4"/>
        </w:numPr>
        <w:jc w:val="both"/>
        <w:rPr>
          <w:rFonts w:ascii="Times New Roman" w:hAnsi="Times New Roman" w:cs="Times New Roman"/>
          <w:sz w:val="32"/>
          <w:szCs w:val="32"/>
        </w:rPr>
      </w:pPr>
      <w:r w:rsidRPr="00A37E7A">
        <w:rPr>
          <w:rFonts w:ascii="Times New Roman" w:hAnsi="Times New Roman" w:cs="Times New Roman"/>
          <w:sz w:val="32"/>
          <w:szCs w:val="32"/>
        </w:rPr>
        <w:t xml:space="preserve">Ototoxicity, neuromuscular blockade, and nephrotoxicity are reported most frequently; these effects may vary with the aminoglycoside and dose or interval used, but all members of the group are potentially toxic. </w:t>
      </w:r>
    </w:p>
    <w:p w:rsidR="00FB5581" w:rsidRPr="00A37E7A" w:rsidRDefault="00A37E7A" w:rsidP="0064480C">
      <w:pPr>
        <w:pStyle w:val="ListParagraph"/>
        <w:numPr>
          <w:ilvl w:val="0"/>
          <w:numId w:val="4"/>
        </w:numPr>
        <w:jc w:val="both"/>
        <w:rPr>
          <w:rFonts w:ascii="Times New Roman" w:hAnsi="Times New Roman" w:cs="Times New Roman"/>
          <w:sz w:val="32"/>
          <w:szCs w:val="32"/>
        </w:rPr>
      </w:pPr>
      <w:r w:rsidRPr="00A37E7A">
        <w:rPr>
          <w:rFonts w:ascii="Times New Roman" w:hAnsi="Times New Roman" w:cs="Times New Roman"/>
          <w:b/>
          <w:sz w:val="32"/>
          <w:szCs w:val="32"/>
        </w:rPr>
        <w:t>NEPHROTOXICITY</w:t>
      </w:r>
      <w:r>
        <w:rPr>
          <w:rFonts w:ascii="Times New Roman" w:hAnsi="Times New Roman" w:cs="Times New Roman"/>
          <w:sz w:val="32"/>
          <w:szCs w:val="32"/>
        </w:rPr>
        <w:t>: This</w:t>
      </w:r>
      <w:r w:rsidR="00FB5581" w:rsidRPr="00A37E7A">
        <w:rPr>
          <w:rFonts w:ascii="Times New Roman" w:hAnsi="Times New Roman" w:cs="Times New Roman"/>
          <w:sz w:val="32"/>
          <w:szCs w:val="32"/>
        </w:rPr>
        <w:t xml:space="preserve"> is of major concern and may result in renal failure due to acute tubular necrosis with secondary interstitial damage. Aminoglycosides accumulate in proximal tubular epithelial cells, where they are sequestered in lysosomes and interact with ribosomes, mitochondria, and other intracellular constituents to cause cell injury. The greater the ionization (e</w:t>
      </w:r>
      <w:r w:rsidR="00931708">
        <w:rPr>
          <w:rFonts w:ascii="Times New Roman" w:hAnsi="Times New Roman" w:cs="Times New Roman"/>
          <w:sz w:val="32"/>
          <w:szCs w:val="32"/>
        </w:rPr>
        <w:t>.</w:t>
      </w:r>
      <w:r w:rsidR="00FB5581" w:rsidRPr="00A37E7A">
        <w:rPr>
          <w:rFonts w:ascii="Times New Roman" w:hAnsi="Times New Roman" w:cs="Times New Roman"/>
          <w:sz w:val="32"/>
          <w:szCs w:val="32"/>
        </w:rPr>
        <w:t>g</w:t>
      </w:r>
      <w:r w:rsidR="00931708">
        <w:rPr>
          <w:rFonts w:ascii="Times New Roman" w:hAnsi="Times New Roman" w:cs="Times New Roman"/>
          <w:sz w:val="32"/>
          <w:szCs w:val="32"/>
        </w:rPr>
        <w:t>.</w:t>
      </w:r>
      <w:r w:rsidR="00FB5581" w:rsidRPr="00A37E7A">
        <w:rPr>
          <w:rFonts w:ascii="Times New Roman" w:hAnsi="Times New Roman" w:cs="Times New Roman"/>
          <w:sz w:val="32"/>
          <w:szCs w:val="32"/>
        </w:rPr>
        <w:t xml:space="preserve"> the more the amine groups and the lower the pH), the greater the active uptake. Kidneys must have a drug-free period to eliminate accumulated drugs. As such, persistence of aminoglycosides in plasma and thus urine is likely to predispose the tubular cells to toxicity, and the risk may </w:t>
      </w:r>
      <w:r w:rsidR="00860FC1" w:rsidRPr="00A37E7A">
        <w:rPr>
          <w:rFonts w:ascii="Times New Roman" w:hAnsi="Times New Roman" w:cs="Times New Roman"/>
          <w:sz w:val="32"/>
          <w:szCs w:val="32"/>
        </w:rPr>
        <w:t>be</w:t>
      </w:r>
      <w:r w:rsidR="00FB5581" w:rsidRPr="00A37E7A">
        <w:rPr>
          <w:rFonts w:ascii="Times New Roman" w:hAnsi="Times New Roman" w:cs="Times New Roman"/>
          <w:sz w:val="32"/>
          <w:szCs w:val="32"/>
        </w:rPr>
        <w:t xml:space="preserve"> reduced by allowing plasma drug concentrations to drop below recommended concentrations (generally 1–2 mcg/mL) before the next dose. Non</w:t>
      </w:r>
      <w:r w:rsidR="00931708">
        <w:rPr>
          <w:rFonts w:ascii="Times New Roman" w:hAnsi="Times New Roman" w:cs="Times New Roman"/>
          <w:sz w:val="32"/>
          <w:szCs w:val="32"/>
        </w:rPr>
        <w:t>-</w:t>
      </w:r>
      <w:r w:rsidR="00931708" w:rsidRPr="00A37E7A">
        <w:rPr>
          <w:rFonts w:ascii="Times New Roman" w:hAnsi="Times New Roman" w:cs="Times New Roman"/>
          <w:sz w:val="32"/>
          <w:szCs w:val="32"/>
        </w:rPr>
        <w:t>oliguria</w:t>
      </w:r>
      <w:r w:rsidR="00FB5581" w:rsidRPr="00A37E7A">
        <w:rPr>
          <w:rFonts w:ascii="Times New Roman" w:hAnsi="Times New Roman" w:cs="Times New Roman"/>
          <w:sz w:val="32"/>
          <w:szCs w:val="32"/>
        </w:rPr>
        <w:t xml:space="preserve"> renal failure is the usual observation; it is generally reversible if damage is not sufficiently extensive to harm the basement membrane, although recovery may be prolonged.</w:t>
      </w:r>
      <w:r>
        <w:rPr>
          <w:rFonts w:ascii="Times New Roman" w:hAnsi="Times New Roman" w:cs="Times New Roman"/>
          <w:sz w:val="32"/>
          <w:szCs w:val="32"/>
        </w:rPr>
        <w:t xml:space="preserve"> </w:t>
      </w:r>
      <w:r w:rsidR="00FB5581" w:rsidRPr="00A37E7A">
        <w:rPr>
          <w:rFonts w:ascii="Times New Roman" w:hAnsi="Times New Roman" w:cs="Times New Roman"/>
          <w:sz w:val="32"/>
          <w:szCs w:val="32"/>
        </w:rPr>
        <w:t xml:space="preserve">Renal function should be monitored during therapy; however, no indicator of renal disease is sufficiently sensitive to prevent continued damage once nephrotoxicity is detected. Polyuria, decreased urine osmolality, enzymuria, proteinuria, cylindruria, and increased fractional sodium excretion are indicative of aminoglycoside nephrotoxicity. Later, BUN and creatinine concentrations may be increased. Early changes or evidence of nephrotoxicity can be detected in 3–5 days, with more overt signs in 7–10 days. Several factors predispose to aminoglycoside </w:t>
      </w:r>
      <w:r w:rsidR="00FB5581" w:rsidRPr="00A37E7A">
        <w:rPr>
          <w:rFonts w:ascii="Times New Roman" w:hAnsi="Times New Roman" w:cs="Times New Roman"/>
          <w:sz w:val="32"/>
          <w:szCs w:val="32"/>
        </w:rPr>
        <w:lastRenderedPageBreak/>
        <w:t>nephrotoxicosis, including age (with young [</w:t>
      </w:r>
      <w:r w:rsidR="00931708">
        <w:rPr>
          <w:rFonts w:ascii="Times New Roman" w:hAnsi="Times New Roman" w:cs="Times New Roman"/>
          <w:sz w:val="32"/>
          <w:szCs w:val="32"/>
        </w:rPr>
        <w:t>especially the newborn foa</w:t>
      </w:r>
      <w:r w:rsidR="00FB5581" w:rsidRPr="00A37E7A">
        <w:rPr>
          <w:rFonts w:ascii="Times New Roman" w:hAnsi="Times New Roman" w:cs="Times New Roman"/>
          <w:sz w:val="32"/>
          <w:szCs w:val="32"/>
        </w:rPr>
        <w:t>l] and old animals being sensitive), compromised renal function, total dose, duration of treatment, dehydration and hypovolemia, aciduria, acidosis, hypomagnesemia, severe sepsis or endotoxemia, concurrent administration of </w:t>
      </w:r>
      <w:r w:rsidR="00FB5581" w:rsidRPr="00A37E7A">
        <w:rPr>
          <w:rStyle w:val="disabledresolveddrug"/>
          <w:rFonts w:ascii="Times New Roman" w:hAnsi="Times New Roman" w:cs="Times New Roman"/>
          <w:spacing w:val="2"/>
          <w:sz w:val="32"/>
          <w:szCs w:val="32"/>
        </w:rPr>
        <w:t>furosemide</w:t>
      </w:r>
      <w:r w:rsidR="00FB5581" w:rsidRPr="00A37E7A">
        <w:rPr>
          <w:rFonts w:ascii="Times New Roman" w:hAnsi="Times New Roman" w:cs="Times New Roman"/>
          <w:sz w:val="32"/>
          <w:szCs w:val="32"/>
        </w:rPr>
        <w:t>, and exposure to o</w:t>
      </w:r>
      <w:r w:rsidR="00860FC1">
        <w:rPr>
          <w:rFonts w:ascii="Times New Roman" w:hAnsi="Times New Roman" w:cs="Times New Roman"/>
          <w:sz w:val="32"/>
          <w:szCs w:val="32"/>
        </w:rPr>
        <w:t>ther potential nephrotoxins (e. g</w:t>
      </w:r>
      <w:r w:rsidR="00FB5581" w:rsidRPr="00A37E7A">
        <w:rPr>
          <w:rFonts w:ascii="Times New Roman" w:hAnsi="Times New Roman" w:cs="Times New Roman"/>
          <w:sz w:val="32"/>
          <w:szCs w:val="32"/>
        </w:rPr>
        <w:t xml:space="preserve"> methoxyflurane, amphotericin B, cisplatinum, and perhaps some cephalosporins). In renal insufficiency, generally the interval between doses is prolonged (rather than reducing the dose) to minimize toxicity, while avoiding a negative impact on efficacy. Dosing in the morning may decrease toxicity in diurnal animals. The risk of toxicity</w:t>
      </w:r>
      <w:r w:rsidR="00931708">
        <w:rPr>
          <w:rFonts w:ascii="Times New Roman" w:hAnsi="Times New Roman" w:cs="Times New Roman"/>
          <w:sz w:val="32"/>
          <w:szCs w:val="32"/>
        </w:rPr>
        <w:t xml:space="preserve"> is less in alkaline urine. Neph</w:t>
      </w:r>
      <w:r w:rsidR="00FB5581" w:rsidRPr="00A37E7A">
        <w:rPr>
          <w:rFonts w:ascii="Times New Roman" w:hAnsi="Times New Roman" w:cs="Times New Roman"/>
          <w:sz w:val="32"/>
          <w:szCs w:val="32"/>
        </w:rPr>
        <w:t>ro</w:t>
      </w:r>
      <w:r w:rsidR="00931708">
        <w:rPr>
          <w:rFonts w:ascii="Times New Roman" w:hAnsi="Times New Roman" w:cs="Times New Roman"/>
          <w:sz w:val="32"/>
          <w:szCs w:val="32"/>
        </w:rPr>
        <w:t>-</w:t>
      </w:r>
      <w:r w:rsidR="00FB5581" w:rsidRPr="00A37E7A">
        <w:rPr>
          <w:rFonts w:ascii="Times New Roman" w:hAnsi="Times New Roman" w:cs="Times New Roman"/>
          <w:sz w:val="32"/>
          <w:szCs w:val="32"/>
        </w:rPr>
        <w:t>active drugs, including those that alter renal vascular response (e</w:t>
      </w:r>
      <w:r w:rsidR="00860FC1">
        <w:rPr>
          <w:rFonts w:ascii="Times New Roman" w:hAnsi="Times New Roman" w:cs="Times New Roman"/>
          <w:sz w:val="32"/>
          <w:szCs w:val="32"/>
        </w:rPr>
        <w:t>.g.</w:t>
      </w:r>
      <w:r w:rsidR="00FB5581" w:rsidRPr="00A37E7A">
        <w:rPr>
          <w:rFonts w:ascii="Times New Roman" w:hAnsi="Times New Roman" w:cs="Times New Roman"/>
          <w:sz w:val="32"/>
          <w:szCs w:val="32"/>
        </w:rPr>
        <w:t xml:space="preserve"> auto</w:t>
      </w:r>
      <w:r w:rsidR="00860FC1">
        <w:rPr>
          <w:rFonts w:ascii="Times New Roman" w:hAnsi="Times New Roman" w:cs="Times New Roman"/>
          <w:sz w:val="32"/>
          <w:szCs w:val="32"/>
        </w:rPr>
        <w:t>-</w:t>
      </w:r>
      <w:r w:rsidR="00FB5581" w:rsidRPr="00A37E7A">
        <w:rPr>
          <w:rFonts w:ascii="Times New Roman" w:hAnsi="Times New Roman" w:cs="Times New Roman"/>
          <w:sz w:val="32"/>
          <w:szCs w:val="32"/>
        </w:rPr>
        <w:t>regulation) should be avoided or used cautiously (e</w:t>
      </w:r>
      <w:r w:rsidR="00860FC1">
        <w:rPr>
          <w:rFonts w:ascii="Times New Roman" w:hAnsi="Times New Roman" w:cs="Times New Roman"/>
          <w:sz w:val="32"/>
          <w:szCs w:val="32"/>
        </w:rPr>
        <w:t>.</w:t>
      </w:r>
      <w:r w:rsidR="00FB5581" w:rsidRPr="00A37E7A">
        <w:rPr>
          <w:rFonts w:ascii="Times New Roman" w:hAnsi="Times New Roman" w:cs="Times New Roman"/>
          <w:sz w:val="32"/>
          <w:szCs w:val="32"/>
        </w:rPr>
        <w:t>g</w:t>
      </w:r>
      <w:r w:rsidR="00860FC1">
        <w:rPr>
          <w:rFonts w:ascii="Times New Roman" w:hAnsi="Times New Roman" w:cs="Times New Roman"/>
          <w:sz w:val="32"/>
          <w:szCs w:val="32"/>
        </w:rPr>
        <w:t>.</w:t>
      </w:r>
      <w:r w:rsidR="00FB5581" w:rsidRPr="00A37E7A">
        <w:rPr>
          <w:rFonts w:ascii="Times New Roman" w:hAnsi="Times New Roman" w:cs="Times New Roman"/>
          <w:sz w:val="32"/>
          <w:szCs w:val="32"/>
        </w:rPr>
        <w:t xml:space="preserve"> NSAIDs, diuretics). Treatment with </w:t>
      </w:r>
      <w:r w:rsidR="00FB5581" w:rsidRPr="00A37E7A">
        <w:rPr>
          <w:rFonts w:ascii="Times New Roman" w:hAnsi="Times New Roman" w:cs="Times New Roman"/>
          <w:i/>
          <w:iCs/>
          <w:sz w:val="32"/>
          <w:szCs w:val="32"/>
        </w:rPr>
        <w:t>N</w:t>
      </w:r>
      <w:r w:rsidR="00FB5581" w:rsidRPr="00A37E7A">
        <w:rPr>
          <w:rFonts w:ascii="Times New Roman" w:hAnsi="Times New Roman" w:cs="Times New Roman"/>
          <w:sz w:val="32"/>
          <w:szCs w:val="32"/>
        </w:rPr>
        <w:t>-</w:t>
      </w:r>
      <w:r w:rsidR="00FB5581" w:rsidRPr="00A37E7A">
        <w:rPr>
          <w:rStyle w:val="disabledresolveddrug"/>
          <w:rFonts w:ascii="Times New Roman" w:hAnsi="Times New Roman" w:cs="Times New Roman"/>
          <w:spacing w:val="2"/>
          <w:sz w:val="32"/>
          <w:szCs w:val="32"/>
        </w:rPr>
        <w:t>acetylcysteine</w:t>
      </w:r>
      <w:r w:rsidR="00FB5581" w:rsidRPr="00A37E7A">
        <w:rPr>
          <w:rFonts w:ascii="Times New Roman" w:hAnsi="Times New Roman" w:cs="Times New Roman"/>
          <w:sz w:val="32"/>
          <w:szCs w:val="32"/>
        </w:rPr>
        <w:t> should be considered (see ototoxicity, below).</w:t>
      </w:r>
    </w:p>
    <w:p w:rsidR="00FB5581" w:rsidRPr="00A37E7A" w:rsidRDefault="00A37E7A" w:rsidP="0064480C">
      <w:pPr>
        <w:pStyle w:val="ListParagraph"/>
        <w:numPr>
          <w:ilvl w:val="0"/>
          <w:numId w:val="4"/>
        </w:numPr>
        <w:jc w:val="both"/>
        <w:rPr>
          <w:rFonts w:ascii="Times New Roman" w:hAnsi="Times New Roman" w:cs="Times New Roman"/>
          <w:sz w:val="32"/>
          <w:szCs w:val="32"/>
        </w:rPr>
      </w:pPr>
      <w:r w:rsidRPr="00A37E7A">
        <w:rPr>
          <w:rFonts w:ascii="Times New Roman" w:hAnsi="Times New Roman" w:cs="Times New Roman"/>
          <w:b/>
          <w:sz w:val="32"/>
          <w:szCs w:val="32"/>
        </w:rPr>
        <w:t>OTOTOXICITY</w:t>
      </w:r>
      <w:r>
        <w:rPr>
          <w:rFonts w:ascii="Times New Roman" w:hAnsi="Times New Roman" w:cs="Times New Roman"/>
          <w:sz w:val="32"/>
          <w:szCs w:val="32"/>
        </w:rPr>
        <w:t xml:space="preserve">: </w:t>
      </w:r>
      <w:r w:rsidR="00FB5581" w:rsidRPr="00A37E7A">
        <w:rPr>
          <w:rFonts w:ascii="Times New Roman" w:hAnsi="Times New Roman" w:cs="Times New Roman"/>
          <w:sz w:val="32"/>
          <w:szCs w:val="32"/>
        </w:rPr>
        <w:t>Aminoglycosides can cause ototoxicity, which may manifest as either auditory or vestibular dysfunction. Binding or damage to mitochondria plays a prominent role in ototoxicity. Vestibular injury leads to nystagmus, incoordination, and loss of the righting reflex. The lesion is often irreversible, although physiologic adaptation can occur. Ototoxicity is not unusual in people, but relevance to veterinary patients is not clear. Cats are particularly sensitive to the toxic vestibular effects, although occurrence at therapeutic concentrations after systemic administration is unlikely. However, aminoglycosides should not be administered topically into the ear unless the tympanic membrane is intact. Hearing impairment reflects permanent damage and loss of the hair cells in the organ of Corti. Loss of high-frequency hearing is followed by deafness, which may not be complete if sufficiently low doses or durations were used. Aminoglycosides should be avoided in working dogs that depend on hearing (e</w:t>
      </w:r>
      <w:r>
        <w:rPr>
          <w:rFonts w:ascii="Times New Roman" w:hAnsi="Times New Roman" w:cs="Times New Roman"/>
          <w:sz w:val="32"/>
          <w:szCs w:val="32"/>
        </w:rPr>
        <w:t>.</w:t>
      </w:r>
      <w:r w:rsidR="00FB5581" w:rsidRPr="00A37E7A">
        <w:rPr>
          <w:rFonts w:ascii="Times New Roman" w:hAnsi="Times New Roman" w:cs="Times New Roman"/>
          <w:sz w:val="32"/>
          <w:szCs w:val="32"/>
        </w:rPr>
        <w:t>g</w:t>
      </w:r>
      <w:r>
        <w:rPr>
          <w:rFonts w:ascii="Times New Roman" w:hAnsi="Times New Roman" w:cs="Times New Roman"/>
          <w:sz w:val="32"/>
          <w:szCs w:val="32"/>
        </w:rPr>
        <w:t>.</w:t>
      </w:r>
      <w:r w:rsidR="00FB5581" w:rsidRPr="00A37E7A">
        <w:rPr>
          <w:rFonts w:ascii="Times New Roman" w:hAnsi="Times New Roman" w:cs="Times New Roman"/>
          <w:sz w:val="32"/>
          <w:szCs w:val="32"/>
        </w:rPr>
        <w:t xml:space="preserve">, guide dogs). Factors increasing the risk of vestibular and cochlear damage are the same </w:t>
      </w:r>
      <w:r w:rsidR="00FB5581" w:rsidRPr="00A37E7A">
        <w:rPr>
          <w:rFonts w:ascii="Times New Roman" w:hAnsi="Times New Roman" w:cs="Times New Roman"/>
          <w:sz w:val="32"/>
          <w:szCs w:val="32"/>
        </w:rPr>
        <w:lastRenderedPageBreak/>
        <w:t>as for nephrotoxicity but also include preexisting acoustic or vestibular impairment and concurrent treatment with potentially ototoxic drugs. The ototoxic potential is greatest for </w:t>
      </w:r>
      <w:r w:rsidR="00FB5581" w:rsidRPr="00A37E7A">
        <w:rPr>
          <w:rStyle w:val="disabledresolveddrug"/>
          <w:rFonts w:ascii="Times New Roman" w:hAnsi="Times New Roman" w:cs="Times New Roman"/>
          <w:spacing w:val="2"/>
          <w:sz w:val="32"/>
          <w:szCs w:val="32"/>
        </w:rPr>
        <w:t>gentamicin</w:t>
      </w:r>
      <w:r w:rsidR="00FB5581" w:rsidRPr="00A37E7A">
        <w:rPr>
          <w:rFonts w:ascii="Times New Roman" w:hAnsi="Times New Roman" w:cs="Times New Roman"/>
          <w:sz w:val="32"/>
          <w:szCs w:val="32"/>
        </w:rPr>
        <w:t>, sisomicin, and </w:t>
      </w:r>
      <w:r w:rsidR="00FB5581" w:rsidRPr="00A37E7A">
        <w:rPr>
          <w:rStyle w:val="disabledresolveddrug"/>
          <w:rFonts w:ascii="Times New Roman" w:hAnsi="Times New Roman" w:cs="Times New Roman"/>
          <w:spacing w:val="2"/>
          <w:sz w:val="32"/>
          <w:szCs w:val="32"/>
        </w:rPr>
        <w:t>neomycin</w:t>
      </w:r>
      <w:r w:rsidR="00FB5581" w:rsidRPr="00A37E7A">
        <w:rPr>
          <w:rFonts w:ascii="Times New Roman" w:hAnsi="Times New Roman" w:cs="Times New Roman"/>
          <w:sz w:val="32"/>
          <w:szCs w:val="32"/>
        </w:rPr>
        <w:t>, and least for netilmicin. In people, treatment with </w:t>
      </w:r>
      <w:r w:rsidR="00FB5581" w:rsidRPr="00A37E7A">
        <w:rPr>
          <w:rFonts w:ascii="Times New Roman" w:hAnsi="Times New Roman" w:cs="Times New Roman"/>
          <w:i/>
          <w:iCs/>
          <w:sz w:val="32"/>
          <w:szCs w:val="32"/>
        </w:rPr>
        <w:t>N</w:t>
      </w:r>
      <w:r w:rsidR="00FB5581" w:rsidRPr="00A37E7A">
        <w:rPr>
          <w:rFonts w:ascii="Times New Roman" w:hAnsi="Times New Roman" w:cs="Times New Roman"/>
          <w:sz w:val="32"/>
          <w:szCs w:val="32"/>
        </w:rPr>
        <w:t>-</w:t>
      </w:r>
      <w:r w:rsidR="00FB5581" w:rsidRPr="00A37E7A">
        <w:rPr>
          <w:rStyle w:val="disabledresolveddrug"/>
          <w:rFonts w:ascii="Times New Roman" w:hAnsi="Times New Roman" w:cs="Times New Roman"/>
          <w:spacing w:val="2"/>
          <w:sz w:val="32"/>
          <w:szCs w:val="32"/>
        </w:rPr>
        <w:t>acetylcysteine</w:t>
      </w:r>
      <w:r w:rsidR="00FB5581" w:rsidRPr="00A37E7A">
        <w:rPr>
          <w:rFonts w:ascii="Times New Roman" w:hAnsi="Times New Roman" w:cs="Times New Roman"/>
          <w:sz w:val="32"/>
          <w:szCs w:val="32"/>
        </w:rPr>
        <w:t> has deceased the risk of aminoglycoside ototoxicity.</w:t>
      </w:r>
    </w:p>
    <w:p w:rsidR="00FB5581" w:rsidRPr="00860FC1" w:rsidRDefault="00A37E7A" w:rsidP="0064480C">
      <w:pPr>
        <w:pStyle w:val="ListParagraph"/>
        <w:numPr>
          <w:ilvl w:val="0"/>
          <w:numId w:val="4"/>
        </w:numPr>
        <w:jc w:val="both"/>
        <w:rPr>
          <w:rFonts w:ascii="Times New Roman" w:hAnsi="Times New Roman" w:cs="Times New Roman"/>
          <w:sz w:val="32"/>
          <w:szCs w:val="32"/>
        </w:rPr>
      </w:pPr>
      <w:r>
        <w:rPr>
          <w:rFonts w:ascii="Times New Roman" w:hAnsi="Times New Roman" w:cs="Times New Roman"/>
          <w:b/>
          <w:sz w:val="32"/>
          <w:szCs w:val="32"/>
        </w:rPr>
        <w:t xml:space="preserve">NEUROMUSCULAR BLOCKADE: </w:t>
      </w:r>
      <w:r w:rsidR="00FB5581" w:rsidRPr="00A37E7A">
        <w:rPr>
          <w:rFonts w:ascii="Times New Roman" w:hAnsi="Times New Roman" w:cs="Times New Roman"/>
          <w:sz w:val="32"/>
          <w:szCs w:val="32"/>
        </w:rPr>
        <w:t>All aminoglycosides, when administered in doses that result in high plasma concentrations, have been associated with muscle weakness and respiratory arrest attributable to neuromuscular blockade. The effect is more pronounced when aminoglycosides are used with other drugs that cause neur</w:t>
      </w:r>
      <w:r w:rsidR="00860FC1">
        <w:rPr>
          <w:rFonts w:ascii="Times New Roman" w:hAnsi="Times New Roman" w:cs="Times New Roman"/>
          <w:sz w:val="32"/>
          <w:szCs w:val="32"/>
        </w:rPr>
        <w:t xml:space="preserve">omuscular blockade and with </w:t>
      </w:r>
      <w:r w:rsidR="00860FC1">
        <w:rPr>
          <w:rFonts w:ascii="Times New Roman" w:hAnsi="Times New Roman" w:cs="Times New Roman"/>
          <w:sz w:val="32"/>
          <w:szCs w:val="32"/>
        </w:rPr>
        <w:t>a</w:t>
      </w:r>
      <w:r w:rsidR="00860FC1" w:rsidRPr="00A37E7A">
        <w:rPr>
          <w:rFonts w:ascii="Times New Roman" w:hAnsi="Times New Roman" w:cs="Times New Roman"/>
          <w:sz w:val="32"/>
          <w:szCs w:val="32"/>
        </w:rPr>
        <w:t>nesthetics</w:t>
      </w:r>
      <w:r w:rsidR="00860FC1">
        <w:rPr>
          <w:rFonts w:ascii="Times New Roman" w:hAnsi="Times New Roman" w:cs="Times New Roman"/>
          <w:sz w:val="32"/>
          <w:szCs w:val="32"/>
        </w:rPr>
        <w:t xml:space="preserve">. </w:t>
      </w:r>
      <w:r w:rsidR="00FB5581" w:rsidRPr="00A37E7A">
        <w:rPr>
          <w:rStyle w:val="disabledresolveddrug"/>
          <w:rFonts w:ascii="Times New Roman" w:hAnsi="Times New Roman" w:cs="Times New Roman"/>
          <w:spacing w:val="2"/>
          <w:sz w:val="32"/>
          <w:szCs w:val="32"/>
        </w:rPr>
        <w:t>Neomycin</w:t>
      </w:r>
      <w:r w:rsidR="00FB5581" w:rsidRPr="00A37E7A">
        <w:rPr>
          <w:rFonts w:ascii="Times New Roman" w:hAnsi="Times New Roman" w:cs="Times New Roman"/>
          <w:sz w:val="32"/>
          <w:szCs w:val="32"/>
        </w:rPr>
        <w:t>, </w:t>
      </w:r>
      <w:r w:rsidR="00FB5581" w:rsidRPr="00A37E7A">
        <w:rPr>
          <w:rStyle w:val="disabledresolveddrug"/>
          <w:rFonts w:ascii="Times New Roman" w:hAnsi="Times New Roman" w:cs="Times New Roman"/>
          <w:spacing w:val="2"/>
          <w:sz w:val="32"/>
          <w:szCs w:val="32"/>
        </w:rPr>
        <w:t>kanamycin</w:t>
      </w:r>
      <w:r w:rsidR="00FB5581" w:rsidRPr="00A37E7A">
        <w:rPr>
          <w:rFonts w:ascii="Times New Roman" w:hAnsi="Times New Roman" w:cs="Times New Roman"/>
          <w:sz w:val="32"/>
          <w:szCs w:val="32"/>
        </w:rPr>
        <w:t>, </w:t>
      </w:r>
      <w:r w:rsidR="00FB5581" w:rsidRPr="00A37E7A">
        <w:rPr>
          <w:rStyle w:val="disabledresolveddrug"/>
          <w:rFonts w:ascii="Times New Roman" w:hAnsi="Times New Roman" w:cs="Times New Roman"/>
          <w:spacing w:val="2"/>
          <w:sz w:val="32"/>
          <w:szCs w:val="32"/>
        </w:rPr>
        <w:t>amikacin</w:t>
      </w:r>
      <w:r w:rsidR="00FB5581" w:rsidRPr="00A37E7A">
        <w:rPr>
          <w:rFonts w:ascii="Times New Roman" w:hAnsi="Times New Roman" w:cs="Times New Roman"/>
          <w:sz w:val="32"/>
          <w:szCs w:val="32"/>
        </w:rPr>
        <w:t>, </w:t>
      </w:r>
      <w:r w:rsidR="00FB5581" w:rsidRPr="00A37E7A">
        <w:rPr>
          <w:rStyle w:val="disabledresolveddrug"/>
          <w:rFonts w:ascii="Times New Roman" w:hAnsi="Times New Roman" w:cs="Times New Roman"/>
          <w:spacing w:val="2"/>
          <w:sz w:val="32"/>
          <w:szCs w:val="32"/>
        </w:rPr>
        <w:t>gentamici</w:t>
      </w:r>
      <w:r>
        <w:rPr>
          <w:rStyle w:val="disabledresolveddrug"/>
          <w:rFonts w:ascii="Times New Roman" w:hAnsi="Times New Roman" w:cs="Times New Roman"/>
          <w:spacing w:val="2"/>
          <w:sz w:val="32"/>
          <w:szCs w:val="32"/>
        </w:rPr>
        <w:t>n</w:t>
      </w:r>
      <w:r w:rsidR="00860FC1">
        <w:rPr>
          <w:rStyle w:val="disabledresolveddrug"/>
          <w:rFonts w:ascii="Times New Roman" w:hAnsi="Times New Roman" w:cs="Times New Roman"/>
          <w:spacing w:val="2"/>
          <w:sz w:val="32"/>
          <w:szCs w:val="32"/>
        </w:rPr>
        <w:t xml:space="preserve"> </w:t>
      </w:r>
      <w:r w:rsidR="00FB5581" w:rsidRPr="00860FC1">
        <w:rPr>
          <w:rFonts w:ascii="Times New Roman" w:hAnsi="Times New Roman" w:cs="Times New Roman"/>
          <w:sz w:val="32"/>
          <w:szCs w:val="32"/>
        </w:rPr>
        <w:t>and </w:t>
      </w:r>
      <w:r w:rsidR="00FB5581" w:rsidRPr="00860FC1">
        <w:rPr>
          <w:rStyle w:val="disabledresolveddrug"/>
          <w:rFonts w:ascii="Times New Roman" w:hAnsi="Times New Roman" w:cs="Times New Roman"/>
          <w:spacing w:val="2"/>
          <w:sz w:val="32"/>
          <w:szCs w:val="32"/>
        </w:rPr>
        <w:t>tobramycin</w:t>
      </w:r>
      <w:r w:rsidR="00FB5581" w:rsidRPr="00860FC1">
        <w:rPr>
          <w:rFonts w:ascii="Times New Roman" w:hAnsi="Times New Roman" w:cs="Times New Roman"/>
          <w:sz w:val="32"/>
          <w:szCs w:val="32"/>
        </w:rPr>
        <w:t> are listed in order of most to least potent for these neuromuscular effects. The effect is due to the chelation of calcium and competitive inhibition of the pre</w:t>
      </w:r>
      <w:r w:rsidRPr="00860FC1">
        <w:rPr>
          <w:rFonts w:ascii="Times New Roman" w:hAnsi="Times New Roman" w:cs="Times New Roman"/>
          <w:sz w:val="32"/>
          <w:szCs w:val="32"/>
        </w:rPr>
        <w:t>-</w:t>
      </w:r>
      <w:r w:rsidR="00FB5581" w:rsidRPr="00860FC1">
        <w:rPr>
          <w:rFonts w:ascii="Times New Roman" w:hAnsi="Times New Roman" w:cs="Times New Roman"/>
          <w:sz w:val="32"/>
          <w:szCs w:val="32"/>
        </w:rPr>
        <w:t>junctional release of acetylcholine in most instances (there are some differences among aminoglycosides). The blockade is antagonized by </w:t>
      </w:r>
      <w:r w:rsidR="00FB5581" w:rsidRPr="00860FC1">
        <w:rPr>
          <w:rStyle w:val="disabledresolveddrug"/>
          <w:rFonts w:ascii="Times New Roman" w:hAnsi="Times New Roman" w:cs="Times New Roman"/>
          <w:spacing w:val="2"/>
          <w:sz w:val="32"/>
          <w:szCs w:val="32"/>
        </w:rPr>
        <w:t>calcium gluconate</w:t>
      </w:r>
      <w:r w:rsidR="00FB5581" w:rsidRPr="00860FC1">
        <w:rPr>
          <w:rFonts w:ascii="Times New Roman" w:hAnsi="Times New Roman" w:cs="Times New Roman"/>
          <w:sz w:val="32"/>
          <w:szCs w:val="32"/>
        </w:rPr>
        <w:t> and somewhat less consistently by </w:t>
      </w:r>
      <w:r w:rsidR="00FB5581" w:rsidRPr="00860FC1">
        <w:rPr>
          <w:rStyle w:val="disabledresolveddrug"/>
          <w:rFonts w:ascii="Times New Roman" w:hAnsi="Times New Roman" w:cs="Times New Roman"/>
          <w:spacing w:val="2"/>
          <w:sz w:val="32"/>
          <w:szCs w:val="32"/>
        </w:rPr>
        <w:t>neostigmine</w:t>
      </w:r>
      <w:r w:rsidR="00FB5581" w:rsidRPr="00860FC1">
        <w:rPr>
          <w:rFonts w:ascii="Times New Roman" w:hAnsi="Times New Roman" w:cs="Times New Roman"/>
          <w:sz w:val="32"/>
          <w:szCs w:val="32"/>
        </w:rPr>
        <w:t>.</w:t>
      </w:r>
      <w:r w:rsidR="00860FC1" w:rsidRPr="00860FC1">
        <w:rPr>
          <w:rFonts w:ascii="Times New Roman" w:hAnsi="Times New Roman" w:cs="Times New Roman"/>
          <w:sz w:val="32"/>
          <w:szCs w:val="32"/>
        </w:rPr>
        <w:t xml:space="preserve"> </w:t>
      </w:r>
      <w:r w:rsidR="00860FC1" w:rsidRPr="00860FC1">
        <w:rPr>
          <w:rFonts w:ascii="Times New Roman" w:hAnsi="Times New Roman" w:cs="Times New Roman"/>
          <w:sz w:val="32"/>
          <w:szCs w:val="32"/>
        </w:rPr>
        <w:t>CNS disturbances rarely include convulsions or collapse after rapid IV administration.</w:t>
      </w:r>
    </w:p>
    <w:p w:rsidR="00FB5581" w:rsidRDefault="00FB5581" w:rsidP="0064480C">
      <w:pPr>
        <w:pStyle w:val="ListParagraph"/>
        <w:numPr>
          <w:ilvl w:val="0"/>
          <w:numId w:val="4"/>
        </w:numPr>
        <w:jc w:val="both"/>
        <w:rPr>
          <w:rFonts w:ascii="Times New Roman" w:hAnsi="Times New Roman" w:cs="Times New Roman"/>
          <w:sz w:val="32"/>
          <w:szCs w:val="32"/>
        </w:rPr>
      </w:pPr>
      <w:r w:rsidRPr="00A37E7A">
        <w:rPr>
          <w:rFonts w:ascii="Times New Roman" w:hAnsi="Times New Roman" w:cs="Times New Roman"/>
          <w:sz w:val="32"/>
          <w:szCs w:val="32"/>
        </w:rPr>
        <w:t>Other adverse effects include super</w:t>
      </w:r>
      <w:r w:rsidR="00A37E7A">
        <w:rPr>
          <w:rFonts w:ascii="Times New Roman" w:hAnsi="Times New Roman" w:cs="Times New Roman"/>
          <w:sz w:val="32"/>
          <w:szCs w:val="32"/>
        </w:rPr>
        <w:t>-</w:t>
      </w:r>
      <w:r w:rsidRPr="00A37E7A">
        <w:rPr>
          <w:rFonts w:ascii="Times New Roman" w:hAnsi="Times New Roman" w:cs="Times New Roman"/>
          <w:sz w:val="32"/>
          <w:szCs w:val="32"/>
        </w:rPr>
        <w:t>infection when used topically or PO, a mal</w:t>
      </w:r>
      <w:r w:rsidR="00A37E7A">
        <w:rPr>
          <w:rFonts w:ascii="Times New Roman" w:hAnsi="Times New Roman" w:cs="Times New Roman"/>
          <w:sz w:val="32"/>
          <w:szCs w:val="32"/>
        </w:rPr>
        <w:t>-</w:t>
      </w:r>
      <w:r w:rsidRPr="00A37E7A">
        <w:rPr>
          <w:rFonts w:ascii="Times New Roman" w:hAnsi="Times New Roman" w:cs="Times New Roman"/>
          <w:sz w:val="32"/>
          <w:szCs w:val="32"/>
        </w:rPr>
        <w:t>absorption syndrome due to attenuation of intestinal villous function when used PO in neonates, occasional hypersensitivity reactions, contact dermatitis, cardiovascular depression, and inhibition of some WBC functions (e</w:t>
      </w:r>
      <w:r w:rsidR="00860FC1">
        <w:rPr>
          <w:rFonts w:ascii="Times New Roman" w:hAnsi="Times New Roman" w:cs="Times New Roman"/>
          <w:sz w:val="32"/>
          <w:szCs w:val="32"/>
        </w:rPr>
        <w:t>. g</w:t>
      </w:r>
      <w:r w:rsidRPr="00A37E7A">
        <w:rPr>
          <w:rFonts w:ascii="Times New Roman" w:hAnsi="Times New Roman" w:cs="Times New Roman"/>
          <w:sz w:val="32"/>
          <w:szCs w:val="32"/>
        </w:rPr>
        <w:t xml:space="preserve"> neutrophil migration and </w:t>
      </w:r>
      <w:r w:rsidR="00A37E7A" w:rsidRPr="00A37E7A">
        <w:rPr>
          <w:rFonts w:ascii="Times New Roman" w:hAnsi="Times New Roman" w:cs="Times New Roman"/>
          <w:sz w:val="32"/>
          <w:szCs w:val="32"/>
        </w:rPr>
        <w:t>chemo taxis</w:t>
      </w:r>
      <w:r w:rsidRPr="00A37E7A">
        <w:rPr>
          <w:rFonts w:ascii="Times New Roman" w:hAnsi="Times New Roman" w:cs="Times New Roman"/>
          <w:sz w:val="32"/>
          <w:szCs w:val="32"/>
        </w:rPr>
        <w:t xml:space="preserve"> and even bactericidal activity at high concentrations).</w:t>
      </w:r>
    </w:p>
    <w:p w:rsidR="00860FC1" w:rsidRPr="00860FC1" w:rsidRDefault="00860FC1" w:rsidP="0064480C">
      <w:pPr>
        <w:pStyle w:val="ListParagraph"/>
        <w:numPr>
          <w:ilvl w:val="0"/>
          <w:numId w:val="4"/>
        </w:numPr>
        <w:jc w:val="both"/>
        <w:rPr>
          <w:rFonts w:ascii="Times New Roman" w:hAnsi="Times New Roman" w:cs="Times New Roman"/>
          <w:sz w:val="32"/>
          <w:szCs w:val="32"/>
        </w:rPr>
      </w:pPr>
      <w:r w:rsidRPr="00860FC1">
        <w:rPr>
          <w:rFonts w:ascii="Times New Roman" w:hAnsi="Times New Roman" w:cs="Times New Roman"/>
          <w:color w:val="1C1D1E"/>
          <w:sz w:val="32"/>
          <w:szCs w:val="32"/>
          <w:shd w:val="clear" w:color="auto" w:fill="FFFFFF"/>
        </w:rPr>
        <w:t>Monitoring for toxicity can be through three mechanisms; quantitative testing of end</w:t>
      </w:r>
      <w:r w:rsidRPr="00860FC1">
        <w:rPr>
          <w:rFonts w:ascii="Cambria Math" w:hAnsi="Cambria Math" w:cs="Cambria Math"/>
          <w:color w:val="1C1D1E"/>
          <w:sz w:val="32"/>
          <w:szCs w:val="32"/>
          <w:shd w:val="clear" w:color="auto" w:fill="FFFFFF"/>
        </w:rPr>
        <w:t>‐</w:t>
      </w:r>
      <w:r w:rsidRPr="00860FC1">
        <w:rPr>
          <w:rFonts w:ascii="Times New Roman" w:hAnsi="Times New Roman" w:cs="Times New Roman"/>
          <w:color w:val="1C1D1E"/>
          <w:sz w:val="32"/>
          <w:szCs w:val="32"/>
          <w:shd w:val="clear" w:color="auto" w:fill="FFFFFF"/>
        </w:rPr>
        <w:t>organ effects (monitoring serum creatinine and audiometry), active bedside testing and passive reporting by the patient. There is no definitive evidence to inform optimal techniques for monitoring of toxicity.</w:t>
      </w:r>
      <w:r>
        <w:rPr>
          <w:rFonts w:ascii="Times New Roman" w:hAnsi="Times New Roman" w:cs="Times New Roman"/>
          <w:b/>
          <w:bCs/>
          <w:color w:val="1C1D1E"/>
          <w:sz w:val="32"/>
          <w:szCs w:val="32"/>
        </w:rPr>
        <w:t xml:space="preserve"> </w:t>
      </w:r>
      <w:r w:rsidRPr="00860FC1">
        <w:rPr>
          <w:rFonts w:ascii="Times New Roman" w:hAnsi="Times New Roman" w:cs="Times New Roman"/>
          <w:color w:val="1C1D1E"/>
          <w:sz w:val="32"/>
          <w:szCs w:val="32"/>
          <w:shd w:val="clear" w:color="auto" w:fill="FFFFFF"/>
        </w:rPr>
        <w:t xml:space="preserve">As a minimum </w:t>
      </w:r>
      <w:r w:rsidRPr="00860FC1">
        <w:rPr>
          <w:rFonts w:ascii="Times New Roman" w:hAnsi="Times New Roman" w:cs="Times New Roman"/>
          <w:color w:val="1C1D1E"/>
          <w:sz w:val="32"/>
          <w:szCs w:val="32"/>
          <w:shd w:val="clear" w:color="auto" w:fill="FFFFFF"/>
        </w:rPr>
        <w:lastRenderedPageBreak/>
        <w:t>standard, before the commencement of aminoglycoside therapy patients should be informed about the possible adverse effects and asked to report if they develop subjective hearing loss, tinnitus or oscillopsia, and serum creatinine should be monitored in all patients. </w:t>
      </w:r>
    </w:p>
    <w:p w:rsidR="00FB5581" w:rsidRPr="00A37E7A" w:rsidRDefault="00FB5581" w:rsidP="0064480C">
      <w:pPr>
        <w:jc w:val="both"/>
        <w:rPr>
          <w:rFonts w:ascii="Times New Roman" w:hAnsi="Times New Roman" w:cs="Times New Roman"/>
          <w:sz w:val="32"/>
          <w:szCs w:val="32"/>
        </w:rPr>
      </w:pPr>
    </w:p>
    <w:p w:rsidR="002F28EF" w:rsidRPr="002F28EF" w:rsidRDefault="002F28EF" w:rsidP="0064480C">
      <w:pPr>
        <w:pStyle w:val="NormalWeb"/>
        <w:spacing w:before="75" w:beforeAutospacing="0" w:after="240" w:afterAutospacing="0" w:line="360" w:lineRule="atLeast"/>
        <w:jc w:val="both"/>
        <w:rPr>
          <w:sz w:val="32"/>
          <w:szCs w:val="32"/>
        </w:rPr>
      </w:pPr>
    </w:p>
    <w:p w:rsidR="002F28EF" w:rsidRPr="00FE7A88" w:rsidRDefault="002F28EF" w:rsidP="0064480C">
      <w:pPr>
        <w:pStyle w:val="NormalWeb"/>
        <w:spacing w:before="75" w:beforeAutospacing="0" w:after="240" w:afterAutospacing="0" w:line="360" w:lineRule="atLeast"/>
        <w:jc w:val="both"/>
        <w:rPr>
          <w:sz w:val="32"/>
          <w:szCs w:val="32"/>
        </w:rPr>
      </w:pPr>
    </w:p>
    <w:p w:rsidR="00F23791" w:rsidRPr="00F23791" w:rsidRDefault="00F23791" w:rsidP="0064480C">
      <w:pPr>
        <w:pStyle w:val="Heading3"/>
        <w:jc w:val="both"/>
        <w:rPr>
          <w:b w:val="0"/>
          <w:sz w:val="32"/>
          <w:szCs w:val="3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F23791" w:rsidRPr="00F23791" w:rsidTr="00F23791">
        <w:tc>
          <w:tcPr>
            <w:tcW w:w="0" w:type="auto"/>
            <w:shd w:val="clear" w:color="auto" w:fill="FFFFFF"/>
            <w:tcMar>
              <w:top w:w="0" w:type="dxa"/>
              <w:left w:w="0" w:type="dxa"/>
              <w:bottom w:w="0" w:type="dxa"/>
              <w:right w:w="0" w:type="dxa"/>
            </w:tcMar>
            <w:vAlign w:val="center"/>
          </w:tcPr>
          <w:p w:rsidR="00F23791" w:rsidRPr="00F23791" w:rsidRDefault="00F23791" w:rsidP="0064480C">
            <w:pPr>
              <w:spacing w:after="0" w:line="240" w:lineRule="auto"/>
              <w:jc w:val="both"/>
              <w:rPr>
                <w:rFonts w:ascii="Times New Roman" w:eastAsia="Times New Roman" w:hAnsi="Times New Roman" w:cs="Times New Roman"/>
                <w:b/>
                <w:color w:val="333333"/>
                <w:sz w:val="52"/>
                <w:szCs w:val="52"/>
              </w:rPr>
            </w:pPr>
          </w:p>
        </w:tc>
      </w:tr>
      <w:tr w:rsidR="00F23791" w:rsidRPr="00F23791" w:rsidTr="00F23791">
        <w:tc>
          <w:tcPr>
            <w:tcW w:w="0" w:type="auto"/>
            <w:shd w:val="clear" w:color="auto" w:fill="FFFFFF"/>
            <w:tcMar>
              <w:top w:w="0" w:type="dxa"/>
              <w:left w:w="0" w:type="dxa"/>
              <w:bottom w:w="0" w:type="dxa"/>
              <w:right w:w="0" w:type="dxa"/>
            </w:tcMar>
            <w:vAlign w:val="center"/>
          </w:tcPr>
          <w:p w:rsidR="00F23791" w:rsidRPr="00F23791" w:rsidRDefault="00F23791" w:rsidP="0064480C">
            <w:pPr>
              <w:spacing w:after="0" w:line="240" w:lineRule="auto"/>
              <w:jc w:val="both"/>
              <w:rPr>
                <w:rFonts w:ascii="Times New Roman" w:eastAsia="Times New Roman" w:hAnsi="Times New Roman" w:cs="Times New Roman"/>
                <w:b/>
                <w:color w:val="333333"/>
                <w:sz w:val="52"/>
                <w:szCs w:val="52"/>
              </w:rPr>
            </w:pPr>
          </w:p>
        </w:tc>
      </w:tr>
      <w:tr w:rsidR="00F23791" w:rsidRPr="00F23791" w:rsidTr="00F23791">
        <w:tc>
          <w:tcPr>
            <w:tcW w:w="0" w:type="auto"/>
            <w:shd w:val="clear" w:color="auto" w:fill="FFFFFF"/>
            <w:tcMar>
              <w:top w:w="0" w:type="dxa"/>
              <w:left w:w="0" w:type="dxa"/>
              <w:bottom w:w="0" w:type="dxa"/>
              <w:right w:w="0" w:type="dxa"/>
            </w:tcMar>
            <w:vAlign w:val="center"/>
          </w:tcPr>
          <w:p w:rsidR="00F23791" w:rsidRPr="00F23791" w:rsidRDefault="00F23791" w:rsidP="0064480C">
            <w:pPr>
              <w:spacing w:after="0" w:line="240" w:lineRule="auto"/>
              <w:jc w:val="both"/>
              <w:rPr>
                <w:rFonts w:ascii="Times New Roman" w:eastAsia="Times New Roman" w:hAnsi="Times New Roman" w:cs="Times New Roman"/>
                <w:b/>
                <w:color w:val="333333"/>
                <w:sz w:val="52"/>
                <w:szCs w:val="52"/>
              </w:rPr>
            </w:pPr>
          </w:p>
        </w:tc>
      </w:tr>
    </w:tbl>
    <w:p w:rsidR="00F23791" w:rsidRDefault="00F23791" w:rsidP="0064480C">
      <w:pPr>
        <w:pStyle w:val="Heading3"/>
        <w:jc w:val="both"/>
        <w:rPr>
          <w:sz w:val="52"/>
          <w:szCs w:val="52"/>
        </w:rPr>
      </w:pPr>
    </w:p>
    <w:p w:rsidR="00CD6425" w:rsidRPr="00F23791" w:rsidRDefault="00CD6425" w:rsidP="0064480C">
      <w:pPr>
        <w:jc w:val="both"/>
        <w:rPr>
          <w:rFonts w:ascii="Times New Roman" w:hAnsi="Times New Roman" w:cs="Times New Roman"/>
          <w:sz w:val="32"/>
          <w:szCs w:val="32"/>
        </w:rPr>
      </w:pPr>
      <w:bookmarkStart w:id="0" w:name="_GoBack"/>
      <w:bookmarkEnd w:id="0"/>
    </w:p>
    <w:sectPr w:rsidR="00CD6425" w:rsidRPr="00F2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074"/>
    <w:multiLevelType w:val="hybridMultilevel"/>
    <w:tmpl w:val="ED28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4520"/>
    <w:multiLevelType w:val="hybridMultilevel"/>
    <w:tmpl w:val="8C5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3119D"/>
    <w:multiLevelType w:val="hybridMultilevel"/>
    <w:tmpl w:val="B376233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6D726EBB"/>
    <w:multiLevelType w:val="hybridMultilevel"/>
    <w:tmpl w:val="AED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041415"/>
    <w:multiLevelType w:val="hybridMultilevel"/>
    <w:tmpl w:val="300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1"/>
    <w:rsid w:val="002F28EF"/>
    <w:rsid w:val="00622AA3"/>
    <w:rsid w:val="0064480C"/>
    <w:rsid w:val="00860FC1"/>
    <w:rsid w:val="00931708"/>
    <w:rsid w:val="00A37E7A"/>
    <w:rsid w:val="00CD6425"/>
    <w:rsid w:val="00E5234A"/>
    <w:rsid w:val="00F23791"/>
    <w:rsid w:val="00FB5581"/>
    <w:rsid w:val="00FE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D1858-6A76-4874-90AC-5719491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7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37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7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37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791"/>
    <w:rPr>
      <w:color w:val="0000FF"/>
      <w:u w:val="single"/>
    </w:rPr>
  </w:style>
  <w:style w:type="character" w:customStyle="1" w:styleId="Heading2Char">
    <w:name w:val="Heading 2 Char"/>
    <w:basedOn w:val="DefaultParagraphFont"/>
    <w:link w:val="Heading2"/>
    <w:uiPriority w:val="9"/>
    <w:semiHidden/>
    <w:rsid w:val="00FE7A8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22AA3"/>
    <w:pPr>
      <w:ind w:left="720"/>
      <w:contextualSpacing/>
    </w:pPr>
  </w:style>
  <w:style w:type="character" w:customStyle="1" w:styleId="disabledresolveddrug">
    <w:name w:val="disabledresolveddrug"/>
    <w:basedOn w:val="DefaultParagraphFont"/>
    <w:rsid w:val="00FB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00031">
      <w:bodyDiv w:val="1"/>
      <w:marLeft w:val="0"/>
      <w:marRight w:val="0"/>
      <w:marTop w:val="0"/>
      <w:marBottom w:val="0"/>
      <w:divBdr>
        <w:top w:val="none" w:sz="0" w:space="0" w:color="auto"/>
        <w:left w:val="none" w:sz="0" w:space="0" w:color="auto"/>
        <w:bottom w:val="none" w:sz="0" w:space="0" w:color="auto"/>
        <w:right w:val="none" w:sz="0" w:space="0" w:color="auto"/>
      </w:divBdr>
      <w:divsChild>
        <w:div w:id="1979264187">
          <w:marLeft w:val="0"/>
          <w:marRight w:val="0"/>
          <w:marTop w:val="0"/>
          <w:marBottom w:val="0"/>
          <w:divBdr>
            <w:top w:val="none" w:sz="0" w:space="0" w:color="auto"/>
            <w:left w:val="none" w:sz="0" w:space="0" w:color="auto"/>
            <w:bottom w:val="none" w:sz="0" w:space="0" w:color="auto"/>
            <w:right w:val="none" w:sz="0" w:space="0" w:color="auto"/>
          </w:divBdr>
          <w:divsChild>
            <w:div w:id="1546404181">
              <w:marLeft w:val="0"/>
              <w:marRight w:val="0"/>
              <w:marTop w:val="0"/>
              <w:marBottom w:val="0"/>
              <w:divBdr>
                <w:top w:val="none" w:sz="0" w:space="0" w:color="auto"/>
                <w:left w:val="none" w:sz="0" w:space="0" w:color="auto"/>
                <w:bottom w:val="none" w:sz="0" w:space="0" w:color="auto"/>
                <w:right w:val="none" w:sz="0" w:space="0" w:color="auto"/>
              </w:divBdr>
            </w:div>
            <w:div w:id="1991396808">
              <w:marLeft w:val="0"/>
              <w:marRight w:val="0"/>
              <w:marTop w:val="0"/>
              <w:marBottom w:val="0"/>
              <w:divBdr>
                <w:top w:val="none" w:sz="0" w:space="0" w:color="auto"/>
                <w:left w:val="none" w:sz="0" w:space="0" w:color="auto"/>
                <w:bottom w:val="none" w:sz="0" w:space="0" w:color="auto"/>
                <w:right w:val="none" w:sz="0" w:space="0" w:color="auto"/>
              </w:divBdr>
            </w:div>
            <w:div w:id="235940542">
              <w:marLeft w:val="0"/>
              <w:marRight w:val="0"/>
              <w:marTop w:val="0"/>
              <w:marBottom w:val="0"/>
              <w:divBdr>
                <w:top w:val="none" w:sz="0" w:space="0" w:color="auto"/>
                <w:left w:val="none" w:sz="0" w:space="0" w:color="auto"/>
                <w:bottom w:val="none" w:sz="0" w:space="0" w:color="auto"/>
                <w:right w:val="none" w:sz="0" w:space="0" w:color="auto"/>
              </w:divBdr>
            </w:div>
            <w:div w:id="1314139591">
              <w:marLeft w:val="0"/>
              <w:marRight w:val="0"/>
              <w:marTop w:val="0"/>
              <w:marBottom w:val="0"/>
              <w:divBdr>
                <w:top w:val="none" w:sz="0" w:space="0" w:color="auto"/>
                <w:left w:val="none" w:sz="0" w:space="0" w:color="auto"/>
                <w:bottom w:val="none" w:sz="0" w:space="0" w:color="auto"/>
                <w:right w:val="none" w:sz="0" w:space="0" w:color="auto"/>
              </w:divBdr>
            </w:div>
            <w:div w:id="1368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40">
      <w:bodyDiv w:val="1"/>
      <w:marLeft w:val="0"/>
      <w:marRight w:val="0"/>
      <w:marTop w:val="0"/>
      <w:marBottom w:val="0"/>
      <w:divBdr>
        <w:top w:val="none" w:sz="0" w:space="0" w:color="auto"/>
        <w:left w:val="none" w:sz="0" w:space="0" w:color="auto"/>
        <w:bottom w:val="none" w:sz="0" w:space="0" w:color="auto"/>
        <w:right w:val="none" w:sz="0" w:space="0" w:color="auto"/>
      </w:divBdr>
    </w:div>
    <w:div w:id="1236546878">
      <w:bodyDiv w:val="1"/>
      <w:marLeft w:val="0"/>
      <w:marRight w:val="0"/>
      <w:marTop w:val="0"/>
      <w:marBottom w:val="0"/>
      <w:divBdr>
        <w:top w:val="none" w:sz="0" w:space="0" w:color="auto"/>
        <w:left w:val="none" w:sz="0" w:space="0" w:color="auto"/>
        <w:bottom w:val="none" w:sz="0" w:space="0" w:color="auto"/>
        <w:right w:val="none" w:sz="0" w:space="0" w:color="auto"/>
      </w:divBdr>
      <w:divsChild>
        <w:div w:id="354624733">
          <w:marLeft w:val="0"/>
          <w:marRight w:val="0"/>
          <w:marTop w:val="0"/>
          <w:marBottom w:val="0"/>
          <w:divBdr>
            <w:top w:val="none" w:sz="0" w:space="0" w:color="auto"/>
            <w:left w:val="none" w:sz="0" w:space="0" w:color="auto"/>
            <w:bottom w:val="none" w:sz="0" w:space="0" w:color="auto"/>
            <w:right w:val="none" w:sz="0" w:space="0" w:color="auto"/>
          </w:divBdr>
          <w:divsChild>
            <w:div w:id="336271846">
              <w:marLeft w:val="0"/>
              <w:marRight w:val="0"/>
              <w:marTop w:val="0"/>
              <w:marBottom w:val="0"/>
              <w:divBdr>
                <w:top w:val="none" w:sz="0" w:space="0" w:color="auto"/>
                <w:left w:val="none" w:sz="0" w:space="0" w:color="auto"/>
                <w:bottom w:val="none" w:sz="0" w:space="0" w:color="auto"/>
                <w:right w:val="none" w:sz="0" w:space="0" w:color="auto"/>
              </w:divBdr>
            </w:div>
            <w:div w:id="729615239">
              <w:marLeft w:val="0"/>
              <w:marRight w:val="0"/>
              <w:marTop w:val="0"/>
              <w:marBottom w:val="0"/>
              <w:divBdr>
                <w:top w:val="none" w:sz="0" w:space="0" w:color="auto"/>
                <w:left w:val="none" w:sz="0" w:space="0" w:color="auto"/>
                <w:bottom w:val="none" w:sz="0" w:space="0" w:color="auto"/>
                <w:right w:val="none" w:sz="0" w:space="0" w:color="auto"/>
              </w:divBdr>
            </w:div>
            <w:div w:id="852114103">
              <w:marLeft w:val="0"/>
              <w:marRight w:val="0"/>
              <w:marTop w:val="0"/>
              <w:marBottom w:val="0"/>
              <w:divBdr>
                <w:top w:val="none" w:sz="0" w:space="0" w:color="auto"/>
                <w:left w:val="none" w:sz="0" w:space="0" w:color="auto"/>
                <w:bottom w:val="none" w:sz="0" w:space="0" w:color="auto"/>
                <w:right w:val="none" w:sz="0" w:space="0" w:color="auto"/>
              </w:divBdr>
            </w:div>
            <w:div w:id="432550962">
              <w:marLeft w:val="0"/>
              <w:marRight w:val="0"/>
              <w:marTop w:val="0"/>
              <w:marBottom w:val="0"/>
              <w:divBdr>
                <w:top w:val="none" w:sz="0" w:space="0" w:color="auto"/>
                <w:left w:val="none" w:sz="0" w:space="0" w:color="auto"/>
                <w:bottom w:val="none" w:sz="0" w:space="0" w:color="auto"/>
                <w:right w:val="none" w:sz="0" w:space="0" w:color="auto"/>
              </w:divBdr>
            </w:div>
            <w:div w:id="118843670">
              <w:marLeft w:val="0"/>
              <w:marRight w:val="0"/>
              <w:marTop w:val="0"/>
              <w:marBottom w:val="0"/>
              <w:divBdr>
                <w:top w:val="none" w:sz="0" w:space="0" w:color="auto"/>
                <w:left w:val="none" w:sz="0" w:space="0" w:color="auto"/>
                <w:bottom w:val="none" w:sz="0" w:space="0" w:color="auto"/>
                <w:right w:val="none" w:sz="0" w:space="0" w:color="auto"/>
              </w:divBdr>
            </w:div>
            <w:div w:id="717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676">
      <w:bodyDiv w:val="1"/>
      <w:marLeft w:val="0"/>
      <w:marRight w:val="0"/>
      <w:marTop w:val="0"/>
      <w:marBottom w:val="0"/>
      <w:divBdr>
        <w:top w:val="none" w:sz="0" w:space="0" w:color="auto"/>
        <w:left w:val="none" w:sz="0" w:space="0" w:color="auto"/>
        <w:bottom w:val="none" w:sz="0" w:space="0" w:color="auto"/>
        <w:right w:val="none" w:sz="0" w:space="0" w:color="auto"/>
      </w:divBdr>
    </w:div>
    <w:div w:id="1555121040">
      <w:bodyDiv w:val="1"/>
      <w:marLeft w:val="0"/>
      <w:marRight w:val="0"/>
      <w:marTop w:val="0"/>
      <w:marBottom w:val="0"/>
      <w:divBdr>
        <w:top w:val="none" w:sz="0" w:space="0" w:color="auto"/>
        <w:left w:val="none" w:sz="0" w:space="0" w:color="auto"/>
        <w:bottom w:val="none" w:sz="0" w:space="0" w:color="auto"/>
        <w:right w:val="none" w:sz="0" w:space="0" w:color="auto"/>
      </w:divBdr>
      <w:divsChild>
        <w:div w:id="51659050">
          <w:marLeft w:val="-225"/>
          <w:marRight w:val="-225"/>
          <w:marTop w:val="0"/>
          <w:marBottom w:val="0"/>
          <w:divBdr>
            <w:top w:val="none" w:sz="0" w:space="0" w:color="auto"/>
            <w:left w:val="none" w:sz="0" w:space="0" w:color="auto"/>
            <w:bottom w:val="none" w:sz="0" w:space="0" w:color="auto"/>
            <w:right w:val="none" w:sz="0" w:space="0" w:color="auto"/>
          </w:divBdr>
          <w:divsChild>
            <w:div w:id="7904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2739">
      <w:bodyDiv w:val="1"/>
      <w:marLeft w:val="0"/>
      <w:marRight w:val="0"/>
      <w:marTop w:val="0"/>
      <w:marBottom w:val="0"/>
      <w:divBdr>
        <w:top w:val="none" w:sz="0" w:space="0" w:color="auto"/>
        <w:left w:val="none" w:sz="0" w:space="0" w:color="auto"/>
        <w:bottom w:val="none" w:sz="0" w:space="0" w:color="auto"/>
        <w:right w:val="none" w:sz="0" w:space="0" w:color="auto"/>
      </w:divBdr>
    </w:div>
    <w:div w:id="1790121974">
      <w:bodyDiv w:val="1"/>
      <w:marLeft w:val="0"/>
      <w:marRight w:val="0"/>
      <w:marTop w:val="0"/>
      <w:marBottom w:val="0"/>
      <w:divBdr>
        <w:top w:val="none" w:sz="0" w:space="0" w:color="auto"/>
        <w:left w:val="none" w:sz="0" w:space="0" w:color="auto"/>
        <w:bottom w:val="none" w:sz="0" w:space="0" w:color="auto"/>
        <w:right w:val="none" w:sz="0" w:space="0" w:color="auto"/>
      </w:divBdr>
    </w:div>
    <w:div w:id="1915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2020-05-01T17:11:00Z</dcterms:created>
  <dcterms:modified xsi:type="dcterms:W3CDTF">2020-05-01T18:54:00Z</dcterms:modified>
</cp:coreProperties>
</file>