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29" w:rsidRDefault="007A5829"/>
    <w:p w:rsidR="00C06892" w:rsidRDefault="00C06892"/>
    <w:p w:rsidR="00C06892" w:rsidRDefault="00C06892" w:rsidP="00C06892">
      <w:pPr>
        <w:jc w:val="center"/>
        <w:rPr>
          <w:rFonts w:ascii="Times New Roman" w:hAnsi="Times New Roman" w:cs="Times New Roman"/>
          <w:sz w:val="24"/>
          <w:szCs w:val="24"/>
        </w:rPr>
      </w:pPr>
      <w:r>
        <w:rPr>
          <w:rFonts w:ascii="Times New Roman" w:hAnsi="Times New Roman" w:cs="Times New Roman"/>
          <w:sz w:val="24"/>
          <w:szCs w:val="24"/>
        </w:rPr>
        <w:t>NAME: HARRISON CHIBUROMA DANIELLA</w:t>
      </w: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r>
        <w:rPr>
          <w:rFonts w:ascii="Times New Roman" w:hAnsi="Times New Roman" w:cs="Times New Roman"/>
          <w:sz w:val="24"/>
          <w:szCs w:val="24"/>
        </w:rPr>
        <w:t xml:space="preserve">LEVEL: 400 </w:t>
      </w:r>
      <w:proofErr w:type="gramStart"/>
      <w:r>
        <w:rPr>
          <w:rFonts w:ascii="Times New Roman" w:hAnsi="Times New Roman" w:cs="Times New Roman"/>
          <w:sz w:val="24"/>
          <w:szCs w:val="24"/>
        </w:rPr>
        <w:t>LEVEL</w:t>
      </w:r>
      <w:proofErr w:type="gramEnd"/>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r>
        <w:rPr>
          <w:rFonts w:ascii="Times New Roman" w:hAnsi="Times New Roman" w:cs="Times New Roman"/>
          <w:sz w:val="24"/>
          <w:szCs w:val="24"/>
        </w:rPr>
        <w:t>MATRIC NUMBER:  16/LAW01/094</w:t>
      </w: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r>
        <w:rPr>
          <w:rFonts w:ascii="Times New Roman" w:hAnsi="Times New Roman" w:cs="Times New Roman"/>
          <w:sz w:val="24"/>
          <w:szCs w:val="24"/>
        </w:rPr>
        <w:t>LECTURER: MR OCHE ALEX</w:t>
      </w: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r>
        <w:rPr>
          <w:rFonts w:ascii="Times New Roman" w:hAnsi="Times New Roman" w:cs="Times New Roman"/>
          <w:sz w:val="24"/>
          <w:szCs w:val="24"/>
        </w:rPr>
        <w:t>DATE: 3OTH APRIL, 2020</w:t>
      </w: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p>
    <w:p w:rsidR="0083746E" w:rsidRDefault="0083746E" w:rsidP="0083746E">
      <w:pPr>
        <w:jc w:val="center"/>
        <w:rPr>
          <w:rFonts w:ascii="Times New Roman" w:hAnsi="Times New Roman" w:cs="Times New Roman"/>
          <w:sz w:val="24"/>
          <w:szCs w:val="24"/>
        </w:rPr>
      </w:pPr>
    </w:p>
    <w:p w:rsidR="00C06892" w:rsidRPr="0083746E" w:rsidRDefault="00C06892" w:rsidP="0083746E">
      <w:pPr>
        <w:jc w:val="center"/>
        <w:rPr>
          <w:rFonts w:ascii="Times New Roman" w:hAnsi="Times New Roman" w:cs="Times New Roman"/>
          <w:i/>
          <w:sz w:val="24"/>
          <w:szCs w:val="24"/>
        </w:rPr>
      </w:pPr>
      <w:r w:rsidRPr="0083746E">
        <w:rPr>
          <w:rFonts w:ascii="Times New Roman" w:hAnsi="Times New Roman" w:cs="Times New Roman"/>
          <w:i/>
          <w:sz w:val="24"/>
          <w:szCs w:val="24"/>
        </w:rPr>
        <w:t xml:space="preserve">The Convention on Biological Diversity </w:t>
      </w:r>
      <w:r w:rsidR="0083746E" w:rsidRPr="0083746E">
        <w:rPr>
          <w:rFonts w:ascii="Times New Roman" w:hAnsi="Times New Roman" w:cs="Times New Roman"/>
          <w:i/>
          <w:sz w:val="24"/>
          <w:szCs w:val="24"/>
        </w:rPr>
        <w:t>is the most important convention that regulates and guides flora and fauna however, the Nagoya and Cartagena Protocol are under the CBD and their aim is to achieve the objectives of the CBD. Herein lays the issues in relation to this scenario.</w:t>
      </w:r>
    </w:p>
    <w:p w:rsidR="00C06892" w:rsidRDefault="00C06892" w:rsidP="0083746E">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b/>
          <w:sz w:val="24"/>
          <w:szCs w:val="24"/>
        </w:rPr>
      </w:pPr>
      <w:r w:rsidRPr="00C06892">
        <w:rPr>
          <w:rFonts w:ascii="Times New Roman" w:hAnsi="Times New Roman" w:cs="Times New Roman"/>
          <w:b/>
          <w:sz w:val="24"/>
          <w:szCs w:val="24"/>
        </w:rPr>
        <w:t>ISSUES FOR DETERMINATION</w:t>
      </w:r>
    </w:p>
    <w:p w:rsidR="00C06892" w:rsidRPr="00C06892" w:rsidRDefault="00C06892" w:rsidP="00C0689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Whether there was a transfer of modified grains from Chad Republic to Doro Gowon Community?</w:t>
      </w:r>
    </w:p>
    <w:p w:rsidR="00C06892" w:rsidRPr="00C06892" w:rsidRDefault="00C06892" w:rsidP="00C0689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Whether there is a procedure for the export of such modified products?</w:t>
      </w:r>
    </w:p>
    <w:p w:rsidR="00C06892" w:rsidRPr="00C06892" w:rsidRDefault="00C06892" w:rsidP="00C0689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Whether there is a legal framework that regulates the export and import of such living modified Organisms</w:t>
      </w:r>
    </w:p>
    <w:p w:rsidR="00C06892" w:rsidRPr="00C06892" w:rsidRDefault="00C06892" w:rsidP="00C0689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Whether the Chad Republic can rely on Sovereignty to exonerate themselves from the damage that resulted in Doro Gowon Community.</w:t>
      </w:r>
    </w:p>
    <w:p w:rsidR="00C06892" w:rsidRDefault="00C06892" w:rsidP="00C06892">
      <w:pPr>
        <w:jc w:val="center"/>
        <w:rPr>
          <w:rFonts w:ascii="Times New Roman" w:hAnsi="Times New Roman" w:cs="Times New Roman"/>
          <w:b/>
          <w:sz w:val="24"/>
          <w:szCs w:val="24"/>
        </w:rPr>
      </w:pPr>
      <w:r>
        <w:rPr>
          <w:rFonts w:ascii="Times New Roman" w:hAnsi="Times New Roman" w:cs="Times New Roman"/>
          <w:b/>
          <w:sz w:val="24"/>
          <w:szCs w:val="24"/>
        </w:rPr>
        <w:t>RULES</w:t>
      </w:r>
    </w:p>
    <w:p w:rsidR="00FD1F3A" w:rsidRDefault="00FD1F3A" w:rsidP="00C06892">
      <w:pPr>
        <w:jc w:val="center"/>
        <w:rPr>
          <w:rFonts w:ascii="Times New Roman" w:hAnsi="Times New Roman" w:cs="Times New Roman"/>
          <w:b/>
          <w:sz w:val="24"/>
          <w:szCs w:val="24"/>
        </w:rPr>
      </w:pPr>
    </w:p>
    <w:p w:rsidR="00C06892" w:rsidRDefault="000D1011" w:rsidP="00C06892">
      <w:pPr>
        <w:rPr>
          <w:rFonts w:ascii="Times New Roman" w:hAnsi="Times New Roman" w:cs="Times New Roman"/>
          <w:sz w:val="24"/>
          <w:szCs w:val="24"/>
        </w:rPr>
      </w:pPr>
      <w:r>
        <w:rPr>
          <w:rFonts w:ascii="Times New Roman" w:hAnsi="Times New Roman" w:cs="Times New Roman"/>
          <w:sz w:val="24"/>
          <w:szCs w:val="24"/>
        </w:rPr>
        <w:t>The hypothetical scenario is centered on the Cartagena protocol which is a supplementary</w:t>
      </w:r>
      <w:r w:rsidR="00213EE4">
        <w:rPr>
          <w:rFonts w:ascii="Times New Roman" w:hAnsi="Times New Roman" w:cs="Times New Roman"/>
          <w:sz w:val="24"/>
          <w:szCs w:val="24"/>
        </w:rPr>
        <w:t xml:space="preserve"> agreement to the CBD. It aims to ensure the safe handling, transport and use of living modified organisms (LMO’s) resulting from modern biotechnology that may have adverse  effects on biological diversity, taking also into account risks to human health, it adopts the precautionary principle in its preamble and articles 1 and 11(8).</w:t>
      </w:r>
    </w:p>
    <w:p w:rsidR="00213EE4" w:rsidRDefault="00213EE4" w:rsidP="00C06892">
      <w:pPr>
        <w:rPr>
          <w:rFonts w:ascii="Times New Roman" w:hAnsi="Times New Roman" w:cs="Times New Roman"/>
          <w:sz w:val="24"/>
          <w:szCs w:val="24"/>
        </w:rPr>
      </w:pPr>
      <w:r>
        <w:rPr>
          <w:rFonts w:ascii="Times New Roman" w:hAnsi="Times New Roman" w:cs="Times New Roman"/>
          <w:sz w:val="24"/>
          <w:szCs w:val="24"/>
        </w:rPr>
        <w:t xml:space="preserve">In </w:t>
      </w:r>
      <w:r w:rsidR="000A286A">
        <w:rPr>
          <w:rFonts w:ascii="Times New Roman" w:hAnsi="Times New Roman" w:cs="Times New Roman"/>
          <w:sz w:val="24"/>
          <w:szCs w:val="24"/>
        </w:rPr>
        <w:t xml:space="preserve">its article 1, it sets out the objectives of the protocol, which is to contribute to ensuring an adequate level of protection in the field of the safe transfer, handling and use of living modified organisms resulting from modern biotechnology that may have adverse effects on the conservation and sustainable use of biological diversity, while taking into account the risk to human health and specifically focusing on transboundary </w:t>
      </w:r>
      <w:r w:rsidR="00204E8D">
        <w:rPr>
          <w:rFonts w:ascii="Times New Roman" w:hAnsi="Times New Roman" w:cs="Times New Roman"/>
          <w:sz w:val="24"/>
          <w:szCs w:val="24"/>
        </w:rPr>
        <w:t>movements.</w:t>
      </w:r>
    </w:p>
    <w:p w:rsidR="000A286A" w:rsidRDefault="000A286A" w:rsidP="00C06892">
      <w:pPr>
        <w:rPr>
          <w:rFonts w:ascii="Times New Roman" w:hAnsi="Times New Roman" w:cs="Times New Roman"/>
          <w:sz w:val="24"/>
          <w:szCs w:val="24"/>
        </w:rPr>
      </w:pPr>
      <w:r>
        <w:rPr>
          <w:rFonts w:ascii="Times New Roman" w:hAnsi="Times New Roman" w:cs="Times New Roman"/>
          <w:sz w:val="24"/>
          <w:szCs w:val="24"/>
        </w:rPr>
        <w:t>The scope of this protocol is spelt out in article 4.</w:t>
      </w:r>
    </w:p>
    <w:p w:rsidR="000A286A" w:rsidRDefault="000A286A" w:rsidP="00C06892">
      <w:pPr>
        <w:rPr>
          <w:rFonts w:ascii="Times New Roman" w:hAnsi="Times New Roman" w:cs="Times New Roman"/>
          <w:sz w:val="24"/>
          <w:szCs w:val="24"/>
        </w:rPr>
      </w:pPr>
      <w:r>
        <w:rPr>
          <w:rFonts w:ascii="Times New Roman" w:hAnsi="Times New Roman" w:cs="Times New Roman"/>
          <w:sz w:val="24"/>
          <w:szCs w:val="24"/>
        </w:rPr>
        <w:t xml:space="preserve">The primary governance tool employed by this protocol is the Advanced Informed </w:t>
      </w:r>
      <w:r w:rsidR="00204E8D">
        <w:rPr>
          <w:rFonts w:ascii="Times New Roman" w:hAnsi="Times New Roman" w:cs="Times New Roman"/>
          <w:sz w:val="24"/>
          <w:szCs w:val="24"/>
        </w:rPr>
        <w:t>Agreement (</w:t>
      </w:r>
      <w:r>
        <w:rPr>
          <w:rFonts w:ascii="Times New Roman" w:hAnsi="Times New Roman" w:cs="Times New Roman"/>
          <w:sz w:val="24"/>
          <w:szCs w:val="24"/>
        </w:rPr>
        <w:t>AIA) as set out in Article 7. This procedure is designed to endure that before an LMO is imported into a country for the first time for intentional</w:t>
      </w:r>
      <w:r w:rsidR="002A1DC7">
        <w:rPr>
          <w:rFonts w:ascii="Times New Roman" w:hAnsi="Times New Roman" w:cs="Times New Roman"/>
          <w:sz w:val="24"/>
          <w:szCs w:val="24"/>
        </w:rPr>
        <w:t xml:space="preserve"> introduction into the environment, the party of import;</w:t>
      </w:r>
    </w:p>
    <w:p w:rsidR="002A1DC7" w:rsidRDefault="002A1DC7" w:rsidP="002A1D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Is notified about the proposed import </w:t>
      </w:r>
    </w:p>
    <w:p w:rsidR="002A1DC7" w:rsidRDefault="002A1DC7" w:rsidP="002A1D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Receives full information about the LMO and its intended use, and;</w:t>
      </w:r>
    </w:p>
    <w:p w:rsidR="002A1DC7" w:rsidRDefault="002A1DC7" w:rsidP="002A1D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Has an </w:t>
      </w:r>
      <w:r w:rsidR="00204E8D">
        <w:rPr>
          <w:rFonts w:ascii="Times New Roman" w:hAnsi="Times New Roman" w:cs="Times New Roman"/>
          <w:sz w:val="24"/>
          <w:szCs w:val="24"/>
        </w:rPr>
        <w:t>opportunity</w:t>
      </w:r>
      <w:r>
        <w:rPr>
          <w:rFonts w:ascii="Times New Roman" w:hAnsi="Times New Roman" w:cs="Times New Roman"/>
          <w:sz w:val="24"/>
          <w:szCs w:val="24"/>
        </w:rPr>
        <w:t xml:space="preserve"> to </w:t>
      </w:r>
      <w:r w:rsidR="00204E8D">
        <w:rPr>
          <w:rFonts w:ascii="Times New Roman" w:hAnsi="Times New Roman" w:cs="Times New Roman"/>
          <w:sz w:val="24"/>
          <w:szCs w:val="24"/>
        </w:rPr>
        <w:t>assess</w:t>
      </w:r>
      <w:r>
        <w:rPr>
          <w:rFonts w:ascii="Times New Roman" w:hAnsi="Times New Roman" w:cs="Times New Roman"/>
          <w:sz w:val="24"/>
          <w:szCs w:val="24"/>
        </w:rPr>
        <w:t xml:space="preserve"> the risk associated with that LMO and to decide whether or not to allow the </w:t>
      </w:r>
      <w:r w:rsidR="00204E8D">
        <w:rPr>
          <w:rFonts w:ascii="Times New Roman" w:hAnsi="Times New Roman" w:cs="Times New Roman"/>
          <w:sz w:val="24"/>
          <w:szCs w:val="24"/>
        </w:rPr>
        <w:t>import.</w:t>
      </w:r>
    </w:p>
    <w:p w:rsidR="002A1DC7" w:rsidRDefault="002664FA" w:rsidP="002A1DC7">
      <w:pPr>
        <w:rPr>
          <w:rFonts w:ascii="Times New Roman" w:hAnsi="Times New Roman" w:cs="Times New Roman"/>
          <w:sz w:val="24"/>
          <w:szCs w:val="24"/>
        </w:rPr>
      </w:pPr>
      <w:r>
        <w:rPr>
          <w:rFonts w:ascii="Times New Roman" w:hAnsi="Times New Roman" w:cs="Times New Roman"/>
          <w:sz w:val="24"/>
          <w:szCs w:val="24"/>
        </w:rPr>
        <w:t>The provisions of Articles 8,10, ad 12 elaborate rules on notification by party of  export to the party of import , th</w:t>
      </w:r>
      <w:r w:rsidR="00204E8D">
        <w:rPr>
          <w:rFonts w:ascii="Times New Roman" w:hAnsi="Times New Roman" w:cs="Times New Roman"/>
          <w:sz w:val="24"/>
          <w:szCs w:val="24"/>
        </w:rPr>
        <w:t>e procedure for the communication of consent or non consent , as well as the procedure for review of decisions which shall apply prior to the first intentional transboundary movement of living modified organism.</w:t>
      </w:r>
    </w:p>
    <w:p w:rsidR="00864BE2" w:rsidRDefault="00864BE2" w:rsidP="002A1DC7">
      <w:pPr>
        <w:rPr>
          <w:rFonts w:ascii="Times New Roman" w:hAnsi="Times New Roman" w:cs="Times New Roman"/>
          <w:sz w:val="24"/>
          <w:szCs w:val="24"/>
        </w:rPr>
      </w:pPr>
      <w:r>
        <w:rPr>
          <w:rFonts w:ascii="Times New Roman" w:hAnsi="Times New Roman" w:cs="Times New Roman"/>
          <w:sz w:val="24"/>
          <w:szCs w:val="24"/>
        </w:rPr>
        <w:t xml:space="preserve">Article 23 promotes public awareness, education and participation regarding the safe transfer, handling and use of living modified organisms in relation to the conservation and sustainable use of biological </w:t>
      </w:r>
      <w:r w:rsidR="002D4EA5">
        <w:rPr>
          <w:rFonts w:ascii="Times New Roman" w:hAnsi="Times New Roman" w:cs="Times New Roman"/>
          <w:sz w:val="24"/>
          <w:szCs w:val="24"/>
        </w:rPr>
        <w:t>diversity taking</w:t>
      </w:r>
      <w:r>
        <w:rPr>
          <w:rFonts w:ascii="Times New Roman" w:hAnsi="Times New Roman" w:cs="Times New Roman"/>
          <w:sz w:val="24"/>
          <w:szCs w:val="24"/>
        </w:rPr>
        <w:t xml:space="preserve"> also into account risks to human health.</w:t>
      </w:r>
    </w:p>
    <w:p w:rsidR="00864BE2" w:rsidRDefault="00864BE2" w:rsidP="002A1DC7">
      <w:pPr>
        <w:rPr>
          <w:rFonts w:ascii="Times New Roman" w:hAnsi="Times New Roman" w:cs="Times New Roman"/>
          <w:sz w:val="24"/>
          <w:szCs w:val="24"/>
        </w:rPr>
      </w:pPr>
      <w:r>
        <w:rPr>
          <w:rFonts w:ascii="Times New Roman" w:hAnsi="Times New Roman" w:cs="Times New Roman"/>
          <w:sz w:val="24"/>
          <w:szCs w:val="24"/>
        </w:rPr>
        <w:t>The role of national governments under Article 19 includes the designation of competent national authorities and national focal points to act on its behalf with respect to the protocol.</w:t>
      </w:r>
    </w:p>
    <w:p w:rsidR="00864BE2" w:rsidRDefault="00864BE2" w:rsidP="002A1DC7">
      <w:pPr>
        <w:rPr>
          <w:rFonts w:ascii="Times New Roman" w:hAnsi="Times New Roman" w:cs="Times New Roman"/>
          <w:sz w:val="24"/>
          <w:szCs w:val="24"/>
        </w:rPr>
      </w:pPr>
      <w:r>
        <w:rPr>
          <w:rFonts w:ascii="Times New Roman" w:hAnsi="Times New Roman" w:cs="Times New Roman"/>
          <w:sz w:val="24"/>
          <w:szCs w:val="24"/>
        </w:rPr>
        <w:t xml:space="preserve">In terms of </w:t>
      </w:r>
      <w:r w:rsidR="002D4EA5">
        <w:rPr>
          <w:rFonts w:ascii="Times New Roman" w:hAnsi="Times New Roman" w:cs="Times New Roman"/>
          <w:sz w:val="24"/>
          <w:szCs w:val="24"/>
        </w:rPr>
        <w:t>institutions the</w:t>
      </w:r>
      <w:r>
        <w:rPr>
          <w:rFonts w:ascii="Times New Roman" w:hAnsi="Times New Roman" w:cs="Times New Roman"/>
          <w:sz w:val="24"/>
          <w:szCs w:val="24"/>
        </w:rPr>
        <w:t xml:space="preserve"> </w:t>
      </w:r>
      <w:r w:rsidR="0037216E">
        <w:rPr>
          <w:rFonts w:ascii="Times New Roman" w:hAnsi="Times New Roman" w:cs="Times New Roman"/>
          <w:sz w:val="24"/>
          <w:szCs w:val="24"/>
        </w:rPr>
        <w:t xml:space="preserve">protocol establishes amongst others a Biosafety Clearing House under Article 20 whose functions include facilitating the exchange of scientific, technical, environmental and legal information on </w:t>
      </w:r>
      <w:r w:rsidR="00552279">
        <w:rPr>
          <w:rFonts w:ascii="Times New Roman" w:hAnsi="Times New Roman" w:cs="Times New Roman"/>
          <w:sz w:val="24"/>
          <w:szCs w:val="24"/>
        </w:rPr>
        <w:t>living modified organisms and assisting parties to implement the protocol, while taking into account the special needs of developing country parties</w:t>
      </w:r>
    </w:p>
    <w:p w:rsidR="009B0D35" w:rsidRPr="002A1DC7" w:rsidRDefault="009B0D35" w:rsidP="002A1DC7">
      <w:pPr>
        <w:rPr>
          <w:rFonts w:ascii="Times New Roman" w:hAnsi="Times New Roman" w:cs="Times New Roman"/>
          <w:sz w:val="24"/>
          <w:szCs w:val="24"/>
        </w:rPr>
      </w:pPr>
      <w:r>
        <w:rPr>
          <w:rFonts w:ascii="Times New Roman" w:hAnsi="Times New Roman" w:cs="Times New Roman"/>
          <w:sz w:val="24"/>
          <w:szCs w:val="24"/>
        </w:rPr>
        <w:t xml:space="preserve">In addition, Article 3 of the Convention on Biological Diversity states that states have the sovereign right to exploit their own resources pursuant to their own environmental policies and the responsibility to ensure </w:t>
      </w:r>
      <w:r w:rsidR="00321918">
        <w:rPr>
          <w:rFonts w:ascii="Times New Roman" w:hAnsi="Times New Roman" w:cs="Times New Roman"/>
          <w:sz w:val="24"/>
          <w:szCs w:val="24"/>
        </w:rPr>
        <w:t>that activities within their jurisdiction or control does not cause damage to their environment. Article 14 of EIA provides that each party is to introduce appropriate EIA procedures for proposed projects that are likely to have significant adverse effects on biological diversity.</w:t>
      </w:r>
    </w:p>
    <w:p w:rsidR="00C06892" w:rsidRPr="009B0D35" w:rsidRDefault="002D4EA5" w:rsidP="0033180F">
      <w:pPr>
        <w:rPr>
          <w:rFonts w:ascii="Times New Roman" w:hAnsi="Times New Roman" w:cs="Times New Roman"/>
          <w:b/>
          <w:sz w:val="24"/>
          <w:szCs w:val="24"/>
        </w:rPr>
      </w:pPr>
      <w:r>
        <w:rPr>
          <w:rFonts w:ascii="Times New Roman" w:hAnsi="Times New Roman" w:cs="Times New Roman"/>
          <w:sz w:val="24"/>
          <w:szCs w:val="24"/>
        </w:rPr>
        <w:t>In a bid to answer</w:t>
      </w:r>
      <w:r w:rsidR="009B0D35">
        <w:rPr>
          <w:rFonts w:ascii="Times New Roman" w:hAnsi="Times New Roman" w:cs="Times New Roman"/>
          <w:sz w:val="24"/>
          <w:szCs w:val="24"/>
        </w:rPr>
        <w:t xml:space="preserve"> </w:t>
      </w:r>
      <w:r w:rsidR="0033180F">
        <w:rPr>
          <w:rFonts w:ascii="Times New Roman" w:hAnsi="Times New Roman" w:cs="Times New Roman"/>
          <w:sz w:val="24"/>
          <w:szCs w:val="24"/>
        </w:rPr>
        <w:t xml:space="preserve">the above </w:t>
      </w:r>
      <w:proofErr w:type="gramStart"/>
      <w:r w:rsidR="0033180F">
        <w:rPr>
          <w:rFonts w:ascii="Times New Roman" w:hAnsi="Times New Roman" w:cs="Times New Roman"/>
          <w:sz w:val="24"/>
          <w:szCs w:val="24"/>
        </w:rPr>
        <w:t>issues ;</w:t>
      </w:r>
      <w:proofErr w:type="gramEnd"/>
    </w:p>
    <w:p w:rsidR="0033180F" w:rsidRDefault="0033180F" w:rsidP="00155B74">
      <w:pPr>
        <w:pStyle w:val="ListParagraph"/>
        <w:numPr>
          <w:ilvl w:val="0"/>
          <w:numId w:val="4"/>
        </w:numPr>
        <w:rPr>
          <w:rFonts w:ascii="Times New Roman" w:hAnsi="Times New Roman" w:cs="Times New Roman"/>
          <w:sz w:val="24"/>
          <w:szCs w:val="24"/>
        </w:rPr>
      </w:pPr>
      <w:r w:rsidRPr="00155B74">
        <w:rPr>
          <w:rFonts w:ascii="Times New Roman" w:hAnsi="Times New Roman" w:cs="Times New Roman"/>
          <w:sz w:val="24"/>
          <w:szCs w:val="24"/>
        </w:rPr>
        <w:t xml:space="preserve">I’ll answer my first issue in the positive, there was a transfer of modified grains from </w:t>
      </w:r>
      <w:proofErr w:type="spellStart"/>
      <w:r w:rsidRPr="00155B74">
        <w:rPr>
          <w:rFonts w:ascii="Times New Roman" w:hAnsi="Times New Roman" w:cs="Times New Roman"/>
          <w:sz w:val="24"/>
          <w:szCs w:val="24"/>
        </w:rPr>
        <w:t>chad</w:t>
      </w:r>
      <w:proofErr w:type="spellEnd"/>
      <w:r w:rsidRPr="00155B74">
        <w:rPr>
          <w:rFonts w:ascii="Times New Roman" w:hAnsi="Times New Roman" w:cs="Times New Roman"/>
          <w:sz w:val="24"/>
          <w:szCs w:val="24"/>
        </w:rPr>
        <w:t xml:space="preserve"> republic to Doro Gowon community </w:t>
      </w:r>
      <w:r w:rsidR="00155B74" w:rsidRPr="00155B74">
        <w:rPr>
          <w:rFonts w:ascii="Times New Roman" w:hAnsi="Times New Roman" w:cs="Times New Roman"/>
          <w:sz w:val="24"/>
          <w:szCs w:val="24"/>
        </w:rPr>
        <w:t>and this transfer was done without the right procedure. An AIA was not carried out, in the sense that ,because the country of export did not notify the country of import that they will be bringing in some modified grains , so that an assessment of the risk associated with the LMO would have been done to know whether to allow it or not.</w:t>
      </w:r>
    </w:p>
    <w:p w:rsidR="00155B74" w:rsidRDefault="00155B74" w:rsidP="00155B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I’ll answer the second issue </w:t>
      </w:r>
      <w:r w:rsidR="00617E42">
        <w:rPr>
          <w:rFonts w:ascii="Times New Roman" w:hAnsi="Times New Roman" w:cs="Times New Roman"/>
          <w:sz w:val="24"/>
          <w:szCs w:val="24"/>
        </w:rPr>
        <w:t xml:space="preserve">in the positive too, yes there is a procedure for the importation of  such LMO’s </w:t>
      </w:r>
      <w:r w:rsidR="009B0D35">
        <w:rPr>
          <w:rFonts w:ascii="Times New Roman" w:hAnsi="Times New Roman" w:cs="Times New Roman"/>
          <w:sz w:val="24"/>
          <w:szCs w:val="24"/>
        </w:rPr>
        <w:t>which is the Advanced informed Agreement and the failure of the Chad Republic to carry out the due procedure rendered them liable for the injury suffered  by the Doro Gowon community</w:t>
      </w:r>
    </w:p>
    <w:p w:rsidR="007A430D" w:rsidRDefault="007A430D" w:rsidP="00155B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It is evident from the aforementioned that there is an </w:t>
      </w:r>
      <w:proofErr w:type="spellStart"/>
      <w:r>
        <w:rPr>
          <w:rFonts w:ascii="Times New Roman" w:hAnsi="Times New Roman" w:cs="Times New Roman"/>
          <w:sz w:val="24"/>
          <w:szCs w:val="24"/>
        </w:rPr>
        <w:t>internatonal</w:t>
      </w:r>
      <w:proofErr w:type="spellEnd"/>
      <w:r>
        <w:rPr>
          <w:rFonts w:ascii="Times New Roman" w:hAnsi="Times New Roman" w:cs="Times New Roman"/>
          <w:sz w:val="24"/>
          <w:szCs w:val="24"/>
        </w:rPr>
        <w:t xml:space="preserve"> legal frame work that regulates the transfer of LMO”s, which is the Cartagena Protocol</w:t>
      </w:r>
    </w:p>
    <w:p w:rsidR="007A430D" w:rsidRDefault="007A430D" w:rsidP="00155B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I’ll answer the last issue in the </w:t>
      </w:r>
      <w:proofErr w:type="gramStart"/>
      <w:r>
        <w:rPr>
          <w:rFonts w:ascii="Times New Roman" w:hAnsi="Times New Roman" w:cs="Times New Roman"/>
          <w:sz w:val="24"/>
          <w:szCs w:val="24"/>
        </w:rPr>
        <w:t>negative ,they</w:t>
      </w:r>
      <w:proofErr w:type="gramEnd"/>
      <w:r>
        <w:rPr>
          <w:rFonts w:ascii="Times New Roman" w:hAnsi="Times New Roman" w:cs="Times New Roman"/>
          <w:sz w:val="24"/>
          <w:szCs w:val="24"/>
        </w:rPr>
        <w:t xml:space="preserve"> cannot rely on the </w:t>
      </w:r>
      <w:r w:rsidR="00F327F8">
        <w:rPr>
          <w:rFonts w:ascii="Times New Roman" w:hAnsi="Times New Roman" w:cs="Times New Roman"/>
          <w:sz w:val="24"/>
          <w:szCs w:val="24"/>
        </w:rPr>
        <w:t xml:space="preserve">sovereignty because according to Article 3 of CBD, in as much as states have the sovereign rights to exploit </w:t>
      </w:r>
      <w:r w:rsidR="00F327F8">
        <w:rPr>
          <w:rFonts w:ascii="Times New Roman" w:hAnsi="Times New Roman" w:cs="Times New Roman"/>
          <w:sz w:val="24"/>
          <w:szCs w:val="24"/>
        </w:rPr>
        <w:lastRenderedPageBreak/>
        <w:t xml:space="preserve">their own resources pursuant to their own environmental policies . </w:t>
      </w:r>
      <w:proofErr w:type="gramStart"/>
      <w:r w:rsidR="00F327F8">
        <w:rPr>
          <w:rFonts w:ascii="Times New Roman" w:hAnsi="Times New Roman" w:cs="Times New Roman"/>
          <w:sz w:val="24"/>
          <w:szCs w:val="24"/>
        </w:rPr>
        <w:t>they</w:t>
      </w:r>
      <w:proofErr w:type="gramEnd"/>
      <w:r w:rsidR="00F327F8">
        <w:rPr>
          <w:rFonts w:ascii="Times New Roman" w:hAnsi="Times New Roman" w:cs="Times New Roman"/>
          <w:sz w:val="24"/>
          <w:szCs w:val="24"/>
        </w:rPr>
        <w:t xml:space="preserve"> also have a responsibility to ensure that such activities within </w:t>
      </w:r>
      <w:proofErr w:type="spellStart"/>
      <w:r w:rsidR="00F327F8">
        <w:rPr>
          <w:rFonts w:ascii="Times New Roman" w:hAnsi="Times New Roman" w:cs="Times New Roman"/>
          <w:sz w:val="24"/>
          <w:szCs w:val="24"/>
        </w:rPr>
        <w:t>theur</w:t>
      </w:r>
      <w:proofErr w:type="spellEnd"/>
      <w:r w:rsidR="00F327F8">
        <w:rPr>
          <w:rFonts w:ascii="Times New Roman" w:hAnsi="Times New Roman" w:cs="Times New Roman"/>
          <w:sz w:val="24"/>
          <w:szCs w:val="24"/>
        </w:rPr>
        <w:t xml:space="preserve"> own jurisdiction do not affect or cause damage to the environment of other states .</w:t>
      </w:r>
    </w:p>
    <w:p w:rsidR="00CB0F5F" w:rsidRDefault="00CB0F5F" w:rsidP="00CB0F5F">
      <w:pPr>
        <w:rPr>
          <w:rFonts w:ascii="Times New Roman" w:hAnsi="Times New Roman" w:cs="Times New Roman"/>
          <w:sz w:val="24"/>
          <w:szCs w:val="24"/>
        </w:rPr>
      </w:pPr>
    </w:p>
    <w:p w:rsidR="00CB0F5F" w:rsidRDefault="00CB0F5F" w:rsidP="00CB0F5F">
      <w:pPr>
        <w:rPr>
          <w:rFonts w:ascii="Times New Roman" w:hAnsi="Times New Roman" w:cs="Times New Roman"/>
          <w:b/>
          <w:sz w:val="24"/>
          <w:szCs w:val="24"/>
        </w:rPr>
      </w:pPr>
      <w:r>
        <w:rPr>
          <w:rFonts w:ascii="Times New Roman" w:hAnsi="Times New Roman" w:cs="Times New Roman"/>
          <w:b/>
          <w:sz w:val="24"/>
          <w:szCs w:val="24"/>
        </w:rPr>
        <w:t>CONCLUSION</w:t>
      </w:r>
    </w:p>
    <w:p w:rsidR="00CB0F5F" w:rsidRPr="00CB0F5F" w:rsidRDefault="004459A2" w:rsidP="00CB0F5F">
      <w:pPr>
        <w:rPr>
          <w:rFonts w:ascii="Times New Roman" w:hAnsi="Times New Roman" w:cs="Times New Roman"/>
          <w:sz w:val="24"/>
          <w:szCs w:val="24"/>
        </w:rPr>
      </w:pPr>
      <w:r>
        <w:rPr>
          <w:rFonts w:ascii="Times New Roman" w:hAnsi="Times New Roman" w:cs="Times New Roman"/>
          <w:sz w:val="24"/>
          <w:szCs w:val="24"/>
        </w:rPr>
        <w:t xml:space="preserve">In conclusion failure on the part of the </w:t>
      </w:r>
      <w:proofErr w:type="spellStart"/>
      <w:r>
        <w:rPr>
          <w:rFonts w:ascii="Times New Roman" w:hAnsi="Times New Roman" w:cs="Times New Roman"/>
          <w:sz w:val="24"/>
          <w:szCs w:val="24"/>
        </w:rPr>
        <w:t>chad</w:t>
      </w:r>
      <w:proofErr w:type="spellEnd"/>
      <w:r>
        <w:rPr>
          <w:rFonts w:ascii="Times New Roman" w:hAnsi="Times New Roman" w:cs="Times New Roman"/>
          <w:sz w:val="24"/>
          <w:szCs w:val="24"/>
        </w:rPr>
        <w:t xml:space="preserve"> republic to follow due procedure laid under Article 7 of the Cartagena protocol , they will be liable for the damage caused and the Doro Gowon community can try to resolve this issue through </w:t>
      </w:r>
      <w:proofErr w:type="spellStart"/>
      <w:r>
        <w:rPr>
          <w:rFonts w:ascii="Times New Roman" w:hAnsi="Times New Roman" w:cs="Times New Roman"/>
          <w:sz w:val="24"/>
          <w:szCs w:val="24"/>
        </w:rPr>
        <w:t>Arbitraton</w:t>
      </w:r>
      <w:proofErr w:type="spellEnd"/>
      <w:r>
        <w:rPr>
          <w:rFonts w:ascii="Times New Roman" w:hAnsi="Times New Roman" w:cs="Times New Roman"/>
          <w:sz w:val="24"/>
          <w:szCs w:val="24"/>
        </w:rPr>
        <w:t xml:space="preserve"> but where Arbitration fails they can result to the ICJ through the appropriate authority or means.</w:t>
      </w:r>
    </w:p>
    <w:p w:rsidR="00155B74" w:rsidRDefault="00155B74" w:rsidP="0033180F">
      <w:pPr>
        <w:rPr>
          <w:rFonts w:ascii="Times New Roman" w:hAnsi="Times New Roman" w:cs="Times New Roman"/>
          <w:sz w:val="24"/>
          <w:szCs w:val="24"/>
        </w:rPr>
      </w:pPr>
    </w:p>
    <w:p w:rsidR="00C06892" w:rsidRDefault="00827B09" w:rsidP="00C06892">
      <w:pPr>
        <w:jc w:val="center"/>
        <w:rPr>
          <w:rFonts w:ascii="Times New Roman" w:hAnsi="Times New Roman" w:cs="Times New Roman"/>
          <w:sz w:val="24"/>
          <w:szCs w:val="24"/>
        </w:rPr>
      </w:pPr>
      <w:r>
        <w:rPr>
          <w:rFonts w:ascii="Times New Roman" w:hAnsi="Times New Roman" w:cs="Times New Roman"/>
          <w:sz w:val="24"/>
          <w:szCs w:val="24"/>
        </w:rPr>
        <w:t xml:space="preserve"> </w:t>
      </w:r>
    </w:p>
    <w:p w:rsidR="00C06892" w:rsidRDefault="00C06892" w:rsidP="00C06892">
      <w:pPr>
        <w:jc w:val="center"/>
        <w:rPr>
          <w:rFonts w:ascii="Times New Roman" w:hAnsi="Times New Roman" w:cs="Times New Roman"/>
          <w:sz w:val="24"/>
          <w:szCs w:val="24"/>
        </w:rPr>
      </w:pPr>
    </w:p>
    <w:p w:rsidR="00C06892" w:rsidRDefault="00C06892" w:rsidP="00C06892">
      <w:pPr>
        <w:jc w:val="center"/>
        <w:rPr>
          <w:rFonts w:ascii="Times New Roman" w:hAnsi="Times New Roman" w:cs="Times New Roman"/>
          <w:sz w:val="24"/>
          <w:szCs w:val="24"/>
        </w:rPr>
      </w:pPr>
    </w:p>
    <w:p w:rsidR="00C06892" w:rsidRDefault="00C06892">
      <w:pPr>
        <w:rPr>
          <w:rFonts w:ascii="Times New Roman" w:hAnsi="Times New Roman" w:cs="Times New Roman"/>
          <w:sz w:val="24"/>
          <w:szCs w:val="24"/>
        </w:rPr>
      </w:pPr>
    </w:p>
    <w:p w:rsidR="00C06892" w:rsidRPr="00C06892" w:rsidRDefault="00C06892">
      <w:pPr>
        <w:rPr>
          <w:rFonts w:ascii="Times New Roman" w:hAnsi="Times New Roman" w:cs="Times New Roman"/>
          <w:sz w:val="24"/>
          <w:szCs w:val="24"/>
        </w:rPr>
      </w:pPr>
    </w:p>
    <w:sectPr w:rsidR="00C06892" w:rsidRPr="00C06892" w:rsidSect="00CA3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790"/>
    <w:multiLevelType w:val="hybridMultilevel"/>
    <w:tmpl w:val="C5FA9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C569D"/>
    <w:multiLevelType w:val="hybridMultilevel"/>
    <w:tmpl w:val="9C6A1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61945"/>
    <w:multiLevelType w:val="hybridMultilevel"/>
    <w:tmpl w:val="5B6A5860"/>
    <w:lvl w:ilvl="0" w:tplc="0734C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D32630"/>
    <w:multiLevelType w:val="hybridMultilevel"/>
    <w:tmpl w:val="77DEDFD0"/>
    <w:lvl w:ilvl="0" w:tplc="3896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06892"/>
    <w:rsid w:val="000A286A"/>
    <w:rsid w:val="000D1011"/>
    <w:rsid w:val="00155B74"/>
    <w:rsid w:val="001620CC"/>
    <w:rsid w:val="00204E8D"/>
    <w:rsid w:val="00213EE4"/>
    <w:rsid w:val="002664FA"/>
    <w:rsid w:val="002A1DC7"/>
    <w:rsid w:val="002D4EA5"/>
    <w:rsid w:val="00321918"/>
    <w:rsid w:val="0033180F"/>
    <w:rsid w:val="0037216E"/>
    <w:rsid w:val="004459A2"/>
    <w:rsid w:val="00552279"/>
    <w:rsid w:val="00617E42"/>
    <w:rsid w:val="006C1072"/>
    <w:rsid w:val="007A430D"/>
    <w:rsid w:val="007A5829"/>
    <w:rsid w:val="007B5E45"/>
    <w:rsid w:val="007F7482"/>
    <w:rsid w:val="00827B09"/>
    <w:rsid w:val="0083746E"/>
    <w:rsid w:val="00864BE2"/>
    <w:rsid w:val="009B0D35"/>
    <w:rsid w:val="00C06892"/>
    <w:rsid w:val="00CA38EE"/>
    <w:rsid w:val="00CB0F5F"/>
    <w:rsid w:val="00E541F8"/>
    <w:rsid w:val="00F13827"/>
    <w:rsid w:val="00F327F8"/>
    <w:rsid w:val="00FD1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8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dc:creator>
  <cp:lastModifiedBy>Treasure</cp:lastModifiedBy>
  <cp:revision>2</cp:revision>
  <dcterms:created xsi:type="dcterms:W3CDTF">2020-05-01T11:37:00Z</dcterms:created>
  <dcterms:modified xsi:type="dcterms:W3CDTF">2020-05-01T11:37:00Z</dcterms:modified>
</cp:coreProperties>
</file>