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29" w:rsidRDefault="007A5829"/>
    <w:p w:rsidR="00451BB0" w:rsidRDefault="00A74855">
      <w:r w:rsidRPr="00A74855">
        <w:rPr>
          <w:noProof/>
        </w:rPr>
        <w:drawing>
          <wp:inline distT="0" distB="0" distL="0" distR="0">
            <wp:extent cx="5628886" cy="1291538"/>
            <wp:effectExtent l="0" t="0" r="0" b="4445"/>
            <wp:docPr id="3"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8" cstate="print"/>
                    <a:srcRect/>
                    <a:stretch>
                      <a:fillRect/>
                    </a:stretch>
                  </pic:blipFill>
                  <pic:spPr bwMode="auto">
                    <a:xfrm>
                      <a:off x="0" y="0"/>
                      <a:ext cx="5677886" cy="1302781"/>
                    </a:xfrm>
                    <a:prstGeom prst="rect">
                      <a:avLst/>
                    </a:prstGeom>
                    <a:noFill/>
                    <a:ln w="9525">
                      <a:noFill/>
                      <a:miter lim="800000"/>
                      <a:headEnd/>
                      <a:tailEnd/>
                    </a:ln>
                  </pic:spPr>
                </pic:pic>
              </a:graphicData>
            </a:graphic>
          </wp:inline>
        </w:drawing>
      </w:r>
    </w:p>
    <w:p w:rsidR="00A74855" w:rsidRDefault="00A74855"/>
    <w:p w:rsidR="00A74855" w:rsidRPr="00A74855" w:rsidRDefault="00A74855" w:rsidP="00315DC3">
      <w:pPr>
        <w:jc w:val="center"/>
        <w:rPr>
          <w:b/>
        </w:rPr>
      </w:pPr>
    </w:p>
    <w:p w:rsidR="00906E08" w:rsidRPr="00A74855" w:rsidRDefault="00451BB0" w:rsidP="00315DC3">
      <w:pPr>
        <w:jc w:val="center"/>
        <w:rPr>
          <w:rFonts w:ascii="Times New Roman" w:hAnsi="Times New Roman" w:cs="Times New Roman"/>
          <w:b/>
          <w:sz w:val="32"/>
          <w:szCs w:val="32"/>
        </w:rPr>
      </w:pPr>
      <w:r w:rsidRPr="00A74855">
        <w:rPr>
          <w:rFonts w:ascii="Times New Roman" w:hAnsi="Times New Roman" w:cs="Times New Roman"/>
          <w:b/>
          <w:sz w:val="32"/>
          <w:szCs w:val="32"/>
        </w:rPr>
        <w:t>NAME: DAOPUYE-OKUCHABA TREASURE</w:t>
      </w:r>
    </w:p>
    <w:p w:rsidR="00A74855" w:rsidRPr="00A74855" w:rsidRDefault="00A74855" w:rsidP="00315DC3">
      <w:pPr>
        <w:jc w:val="center"/>
        <w:rPr>
          <w:rFonts w:ascii="Times New Roman" w:hAnsi="Times New Roman" w:cs="Times New Roman"/>
          <w:b/>
          <w:sz w:val="32"/>
          <w:szCs w:val="32"/>
        </w:rPr>
      </w:pPr>
    </w:p>
    <w:p w:rsidR="00906E08" w:rsidRPr="00A74855" w:rsidRDefault="00451BB0" w:rsidP="00315DC3">
      <w:pPr>
        <w:jc w:val="center"/>
        <w:rPr>
          <w:rFonts w:ascii="Times New Roman" w:hAnsi="Times New Roman" w:cs="Times New Roman"/>
          <w:b/>
          <w:sz w:val="32"/>
          <w:szCs w:val="32"/>
        </w:rPr>
      </w:pPr>
      <w:r w:rsidRPr="00A74855">
        <w:rPr>
          <w:rFonts w:ascii="Times New Roman" w:hAnsi="Times New Roman" w:cs="Times New Roman"/>
          <w:b/>
          <w:sz w:val="32"/>
          <w:szCs w:val="32"/>
        </w:rPr>
        <w:t>MATRIC NUMBER: 16/LAW01/059</w:t>
      </w:r>
    </w:p>
    <w:p w:rsidR="00A74855" w:rsidRPr="00A74855" w:rsidRDefault="00A74855" w:rsidP="00315DC3">
      <w:pPr>
        <w:jc w:val="center"/>
        <w:rPr>
          <w:rFonts w:ascii="Times New Roman" w:hAnsi="Times New Roman" w:cs="Times New Roman"/>
          <w:b/>
          <w:sz w:val="32"/>
          <w:szCs w:val="32"/>
        </w:rPr>
      </w:pPr>
    </w:p>
    <w:p w:rsidR="00906E08" w:rsidRPr="00A74855" w:rsidRDefault="00451BB0" w:rsidP="00315DC3">
      <w:pPr>
        <w:jc w:val="center"/>
        <w:rPr>
          <w:rFonts w:ascii="Times New Roman" w:hAnsi="Times New Roman" w:cs="Times New Roman"/>
          <w:b/>
          <w:sz w:val="32"/>
          <w:szCs w:val="32"/>
        </w:rPr>
      </w:pPr>
      <w:r w:rsidRPr="00A74855">
        <w:rPr>
          <w:rFonts w:ascii="Times New Roman" w:hAnsi="Times New Roman" w:cs="Times New Roman"/>
          <w:b/>
          <w:sz w:val="32"/>
          <w:szCs w:val="32"/>
        </w:rPr>
        <w:t>LEVEL: 400 LEVEL</w:t>
      </w:r>
    </w:p>
    <w:p w:rsidR="00A74855" w:rsidRPr="00A74855" w:rsidRDefault="00A74855" w:rsidP="00315DC3">
      <w:pPr>
        <w:jc w:val="center"/>
        <w:rPr>
          <w:rFonts w:ascii="Times New Roman" w:hAnsi="Times New Roman" w:cs="Times New Roman"/>
          <w:b/>
          <w:sz w:val="32"/>
          <w:szCs w:val="32"/>
        </w:rPr>
      </w:pPr>
    </w:p>
    <w:p w:rsidR="00906E08" w:rsidRPr="00A74855" w:rsidRDefault="00451BB0" w:rsidP="00315DC3">
      <w:pPr>
        <w:jc w:val="center"/>
        <w:rPr>
          <w:rFonts w:ascii="Times New Roman" w:hAnsi="Times New Roman" w:cs="Times New Roman"/>
          <w:b/>
          <w:sz w:val="32"/>
          <w:szCs w:val="32"/>
        </w:rPr>
      </w:pPr>
      <w:r w:rsidRPr="00A74855">
        <w:rPr>
          <w:rFonts w:ascii="Times New Roman" w:hAnsi="Times New Roman" w:cs="Times New Roman"/>
          <w:b/>
          <w:sz w:val="32"/>
          <w:szCs w:val="32"/>
        </w:rPr>
        <w:t>LECTURER:  MR OCHE ALEX</w:t>
      </w:r>
    </w:p>
    <w:p w:rsidR="00A74855" w:rsidRPr="00A74855" w:rsidRDefault="00A74855" w:rsidP="00315DC3">
      <w:pPr>
        <w:jc w:val="center"/>
        <w:rPr>
          <w:rFonts w:ascii="Times New Roman" w:hAnsi="Times New Roman" w:cs="Times New Roman"/>
          <w:b/>
          <w:sz w:val="32"/>
          <w:szCs w:val="32"/>
        </w:rPr>
      </w:pPr>
    </w:p>
    <w:p w:rsidR="00451BB0" w:rsidRPr="00A74855" w:rsidRDefault="00451BB0" w:rsidP="00315DC3">
      <w:pPr>
        <w:jc w:val="center"/>
        <w:rPr>
          <w:rFonts w:ascii="Times New Roman" w:hAnsi="Times New Roman" w:cs="Times New Roman"/>
          <w:b/>
          <w:sz w:val="32"/>
          <w:szCs w:val="32"/>
        </w:rPr>
      </w:pPr>
      <w:r w:rsidRPr="00A74855">
        <w:rPr>
          <w:rFonts w:ascii="Times New Roman" w:hAnsi="Times New Roman" w:cs="Times New Roman"/>
          <w:b/>
          <w:sz w:val="32"/>
          <w:szCs w:val="32"/>
        </w:rPr>
        <w:t>DATE: 28</w:t>
      </w:r>
      <w:r w:rsidRPr="00A74855">
        <w:rPr>
          <w:rFonts w:ascii="Times New Roman" w:hAnsi="Times New Roman" w:cs="Times New Roman"/>
          <w:b/>
          <w:sz w:val="32"/>
          <w:szCs w:val="32"/>
          <w:vertAlign w:val="superscript"/>
        </w:rPr>
        <w:t xml:space="preserve">TH </w:t>
      </w:r>
      <w:r w:rsidRPr="00A74855">
        <w:rPr>
          <w:rFonts w:ascii="Times New Roman" w:hAnsi="Times New Roman" w:cs="Times New Roman"/>
          <w:b/>
          <w:sz w:val="32"/>
          <w:szCs w:val="32"/>
        </w:rPr>
        <w:t>APRIL, 2020</w:t>
      </w:r>
    </w:p>
    <w:p w:rsidR="00451BB0" w:rsidRDefault="00451BB0">
      <w:pPr>
        <w:rPr>
          <w:rFonts w:ascii="Times New Roman" w:hAnsi="Times New Roman" w:cs="Times New Roman"/>
          <w:sz w:val="32"/>
          <w:szCs w:val="32"/>
        </w:rPr>
      </w:pPr>
    </w:p>
    <w:p w:rsidR="00451BB0" w:rsidRDefault="00451BB0">
      <w:pPr>
        <w:rPr>
          <w:rFonts w:ascii="Times New Roman" w:hAnsi="Times New Roman" w:cs="Times New Roman"/>
          <w:sz w:val="32"/>
          <w:szCs w:val="32"/>
        </w:rPr>
      </w:pPr>
    </w:p>
    <w:p w:rsidR="00451BB0" w:rsidRDefault="00451BB0">
      <w:pPr>
        <w:rPr>
          <w:rFonts w:ascii="Times New Roman" w:hAnsi="Times New Roman" w:cs="Times New Roman"/>
          <w:sz w:val="32"/>
          <w:szCs w:val="32"/>
        </w:rPr>
      </w:pPr>
    </w:p>
    <w:p w:rsidR="00451BB0" w:rsidRDefault="00451BB0">
      <w:pPr>
        <w:rPr>
          <w:rFonts w:ascii="Times New Roman" w:hAnsi="Times New Roman" w:cs="Times New Roman"/>
          <w:sz w:val="32"/>
          <w:szCs w:val="32"/>
        </w:rPr>
      </w:pPr>
    </w:p>
    <w:p w:rsidR="00A74855" w:rsidRDefault="00A74855">
      <w:pPr>
        <w:rPr>
          <w:rFonts w:ascii="Times New Roman" w:hAnsi="Times New Roman" w:cs="Times New Roman"/>
          <w:sz w:val="32"/>
          <w:szCs w:val="32"/>
        </w:rPr>
      </w:pPr>
    </w:p>
    <w:p w:rsidR="00235A7D" w:rsidRDefault="0088522F" w:rsidP="00235A7D">
      <w:pPr>
        <w:jc w:val="center"/>
        <w:rPr>
          <w:rFonts w:ascii="Times New Roman" w:hAnsi="Times New Roman" w:cs="Times New Roman"/>
          <w:sz w:val="24"/>
          <w:szCs w:val="24"/>
        </w:rPr>
      </w:pPr>
      <w:r>
        <w:rPr>
          <w:rFonts w:ascii="Times New Roman" w:hAnsi="Times New Roman" w:cs="Times New Roman"/>
          <w:i/>
          <w:sz w:val="24"/>
          <w:szCs w:val="24"/>
        </w:rPr>
        <w:lastRenderedPageBreak/>
        <w:t>Biodiversity has</w:t>
      </w:r>
      <w:r w:rsidR="003C7B52" w:rsidRPr="00235A7D">
        <w:rPr>
          <w:rFonts w:ascii="Times New Roman" w:hAnsi="Times New Roman" w:cs="Times New Roman"/>
          <w:i/>
          <w:sz w:val="24"/>
          <w:szCs w:val="24"/>
        </w:rPr>
        <w:t xml:space="preserve"> been defined as the variability of life in all its forms, levels and combinations. It is the variety of life found on earth. The convention on Biological diversity is the principal international agreement that seeks to protect and conserve biodiversity. </w:t>
      </w:r>
      <w:r w:rsidR="00235A7D" w:rsidRPr="00235A7D">
        <w:rPr>
          <w:rFonts w:ascii="Times New Roman" w:hAnsi="Times New Roman" w:cs="Times New Roman"/>
          <w:i/>
          <w:sz w:val="24"/>
          <w:szCs w:val="24"/>
        </w:rPr>
        <w:t>This convention</w:t>
      </w:r>
      <w:r w:rsidR="003C7B52" w:rsidRPr="00235A7D">
        <w:rPr>
          <w:rFonts w:ascii="Times New Roman" w:hAnsi="Times New Roman" w:cs="Times New Roman"/>
          <w:i/>
          <w:sz w:val="24"/>
          <w:szCs w:val="24"/>
        </w:rPr>
        <w:t xml:space="preserve"> is divided into </w:t>
      </w:r>
      <w:r w:rsidR="00B35261" w:rsidRPr="00235A7D">
        <w:rPr>
          <w:rFonts w:ascii="Times New Roman" w:hAnsi="Times New Roman" w:cs="Times New Roman"/>
          <w:i/>
          <w:sz w:val="24"/>
          <w:szCs w:val="24"/>
        </w:rPr>
        <w:t>two namely; The “Cartagena Protocol”</w:t>
      </w:r>
      <w:r w:rsidR="00B35261" w:rsidRPr="00235A7D">
        <w:rPr>
          <w:rStyle w:val="FootnoteReference"/>
          <w:rFonts w:ascii="Times New Roman" w:hAnsi="Times New Roman" w:cs="Times New Roman"/>
          <w:i/>
          <w:sz w:val="24"/>
          <w:szCs w:val="24"/>
        </w:rPr>
        <w:footnoteReference w:id="2"/>
      </w:r>
      <w:r w:rsidR="00B35261" w:rsidRPr="00235A7D">
        <w:rPr>
          <w:rFonts w:ascii="Times New Roman" w:hAnsi="Times New Roman" w:cs="Times New Roman"/>
          <w:i/>
          <w:sz w:val="24"/>
          <w:szCs w:val="24"/>
        </w:rPr>
        <w:t xml:space="preserve"> and the “Nagoya Protocol”</w:t>
      </w:r>
      <w:r w:rsidR="00B35261" w:rsidRPr="00235A7D">
        <w:rPr>
          <w:rStyle w:val="FootnoteReference"/>
          <w:rFonts w:ascii="Times New Roman" w:hAnsi="Times New Roman" w:cs="Times New Roman"/>
          <w:i/>
          <w:sz w:val="24"/>
          <w:szCs w:val="24"/>
        </w:rPr>
        <w:footnoteReference w:id="3"/>
      </w:r>
      <w:r w:rsidR="00235A7D" w:rsidRPr="00235A7D">
        <w:rPr>
          <w:rFonts w:ascii="Times New Roman" w:hAnsi="Times New Roman" w:cs="Times New Roman"/>
          <w:i/>
          <w:sz w:val="24"/>
          <w:szCs w:val="24"/>
        </w:rPr>
        <w:t xml:space="preserve"> This hypothetical scenario bothers on the Cartagena Protocol and its application</w:t>
      </w:r>
      <w:r w:rsidR="00235A7D" w:rsidRPr="00235A7D">
        <w:rPr>
          <w:rFonts w:ascii="Times New Roman" w:hAnsi="Times New Roman" w:cs="Times New Roman"/>
          <w:b/>
          <w:i/>
          <w:sz w:val="24"/>
          <w:szCs w:val="24"/>
        </w:rPr>
        <w:t>. Following the factual scenario above the legal issues for determination are as follows</w:t>
      </w:r>
      <w:r w:rsidR="00235A7D">
        <w:rPr>
          <w:rFonts w:ascii="Times New Roman" w:hAnsi="Times New Roman" w:cs="Times New Roman"/>
          <w:sz w:val="24"/>
          <w:szCs w:val="24"/>
        </w:rPr>
        <w:t>:</w:t>
      </w:r>
    </w:p>
    <w:p w:rsidR="00235A7D" w:rsidRDefault="00235A7D" w:rsidP="00315DC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Whether the grains exported to </w:t>
      </w:r>
      <w:r w:rsidR="00814C46">
        <w:rPr>
          <w:rFonts w:ascii="Times New Roman" w:hAnsi="Times New Roman" w:cs="Times New Roman"/>
          <w:sz w:val="24"/>
          <w:szCs w:val="24"/>
        </w:rPr>
        <w:t>the Doro</w:t>
      </w:r>
      <w:r>
        <w:rPr>
          <w:rFonts w:ascii="Times New Roman" w:hAnsi="Times New Roman" w:cs="Times New Roman"/>
          <w:sz w:val="24"/>
          <w:szCs w:val="24"/>
        </w:rPr>
        <w:t xml:space="preserve"> Gowon Community </w:t>
      </w:r>
      <w:r w:rsidR="00814C46">
        <w:rPr>
          <w:rFonts w:ascii="Times New Roman" w:hAnsi="Times New Roman" w:cs="Times New Roman"/>
          <w:sz w:val="24"/>
          <w:szCs w:val="24"/>
        </w:rPr>
        <w:t>can be categorized as LMO’s?</w:t>
      </w:r>
    </w:p>
    <w:p w:rsidR="00814C46" w:rsidRDefault="00814C46" w:rsidP="00315DC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Whether there is any procedure under International Environmental law for the </w:t>
      </w:r>
      <w:r w:rsidR="00E21289">
        <w:rPr>
          <w:rFonts w:ascii="Times New Roman" w:hAnsi="Times New Roman" w:cs="Times New Roman"/>
          <w:sz w:val="24"/>
          <w:szCs w:val="24"/>
        </w:rPr>
        <w:t xml:space="preserve">exportation of such Living </w:t>
      </w:r>
      <w:r>
        <w:rPr>
          <w:rFonts w:ascii="Times New Roman" w:hAnsi="Times New Roman" w:cs="Times New Roman"/>
          <w:sz w:val="24"/>
          <w:szCs w:val="24"/>
        </w:rPr>
        <w:t>modified grains?</w:t>
      </w:r>
    </w:p>
    <w:p w:rsidR="00814C46" w:rsidRDefault="00814C46" w:rsidP="00315DC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What Laws are applicable under International </w:t>
      </w:r>
      <w:r w:rsidR="006034CC">
        <w:rPr>
          <w:rFonts w:ascii="Times New Roman" w:hAnsi="Times New Roman" w:cs="Times New Roman"/>
          <w:sz w:val="24"/>
          <w:szCs w:val="24"/>
        </w:rPr>
        <w:t>Environmental Law</w:t>
      </w:r>
      <w:r>
        <w:rPr>
          <w:rFonts w:ascii="Times New Roman" w:hAnsi="Times New Roman" w:cs="Times New Roman"/>
          <w:sz w:val="24"/>
          <w:szCs w:val="24"/>
        </w:rPr>
        <w:t xml:space="preserve"> to ad</w:t>
      </w:r>
      <w:r w:rsidR="00E21289">
        <w:rPr>
          <w:rFonts w:ascii="Times New Roman" w:hAnsi="Times New Roman" w:cs="Times New Roman"/>
          <w:sz w:val="24"/>
          <w:szCs w:val="24"/>
        </w:rPr>
        <w:t xml:space="preserve">dress the Export of Living/genetically </w:t>
      </w:r>
      <w:r>
        <w:rPr>
          <w:rFonts w:ascii="Times New Roman" w:hAnsi="Times New Roman" w:cs="Times New Roman"/>
          <w:sz w:val="24"/>
          <w:szCs w:val="24"/>
        </w:rPr>
        <w:t xml:space="preserve">modified </w:t>
      </w:r>
      <w:r w:rsidR="006034CC">
        <w:rPr>
          <w:rFonts w:ascii="Times New Roman" w:hAnsi="Times New Roman" w:cs="Times New Roman"/>
          <w:sz w:val="24"/>
          <w:szCs w:val="24"/>
        </w:rPr>
        <w:t>grains?</w:t>
      </w:r>
    </w:p>
    <w:p w:rsidR="00F455FE" w:rsidRDefault="00F455FE" w:rsidP="00315DC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Whether the Chadian government can rely on sovereignty to escape liability for the damage caused by their geothermal project to the Doro Gowon community.</w:t>
      </w:r>
    </w:p>
    <w:p w:rsidR="006034CC" w:rsidRDefault="006034CC" w:rsidP="00315DC3">
      <w:pPr>
        <w:pStyle w:val="ListParagraph"/>
        <w:jc w:val="both"/>
        <w:rPr>
          <w:rFonts w:ascii="Times New Roman" w:hAnsi="Times New Roman" w:cs="Times New Roman"/>
          <w:sz w:val="24"/>
          <w:szCs w:val="24"/>
        </w:rPr>
      </w:pPr>
    </w:p>
    <w:p w:rsidR="006034CC" w:rsidRDefault="006034CC" w:rsidP="00315DC3">
      <w:pPr>
        <w:pStyle w:val="ListParagraph"/>
        <w:jc w:val="both"/>
        <w:rPr>
          <w:rFonts w:ascii="Times New Roman" w:hAnsi="Times New Roman" w:cs="Times New Roman"/>
          <w:b/>
          <w:sz w:val="24"/>
          <w:szCs w:val="24"/>
        </w:rPr>
      </w:pPr>
      <w:r w:rsidRPr="006034CC">
        <w:rPr>
          <w:rFonts w:ascii="Times New Roman" w:hAnsi="Times New Roman" w:cs="Times New Roman"/>
          <w:b/>
          <w:sz w:val="24"/>
          <w:szCs w:val="24"/>
        </w:rPr>
        <w:t>RULES</w:t>
      </w:r>
    </w:p>
    <w:p w:rsidR="006034CC" w:rsidRDefault="00A51FCE" w:rsidP="00315DC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34CC">
        <w:rPr>
          <w:rFonts w:ascii="Times New Roman" w:hAnsi="Times New Roman" w:cs="Times New Roman"/>
          <w:sz w:val="24"/>
          <w:szCs w:val="24"/>
        </w:rPr>
        <w:t>Befo</w:t>
      </w:r>
      <w:r w:rsidR="00903A35">
        <w:rPr>
          <w:rFonts w:ascii="Times New Roman" w:hAnsi="Times New Roman" w:cs="Times New Roman"/>
          <w:sz w:val="24"/>
          <w:szCs w:val="24"/>
        </w:rPr>
        <w:t>re delving into the main discourse</w:t>
      </w:r>
      <w:r w:rsidR="006034CC">
        <w:rPr>
          <w:rFonts w:ascii="Times New Roman" w:hAnsi="Times New Roman" w:cs="Times New Roman"/>
          <w:sz w:val="24"/>
          <w:szCs w:val="24"/>
        </w:rPr>
        <w:t xml:space="preserve">, It is </w:t>
      </w:r>
      <w:r w:rsidR="00E21289">
        <w:rPr>
          <w:rFonts w:ascii="Times New Roman" w:hAnsi="Times New Roman" w:cs="Times New Roman"/>
          <w:sz w:val="24"/>
          <w:szCs w:val="24"/>
        </w:rPr>
        <w:t>Crucial to know that the Convention on Biological Diversity has three main Objectives as set out in Article 1 of the convention they include; The conservation of Biological Diversity, The sustainable use of the components of Biodiversity and the fair and equitable sharing of the benefits arising out of the utilization of the generic resources. The Cartagena Protocol is responsible for the sustainable use of the component of Biodiversity which is the second objective of the CBD.</w:t>
      </w:r>
      <w:r w:rsidR="009479AB">
        <w:rPr>
          <w:rFonts w:ascii="Times New Roman" w:hAnsi="Times New Roman" w:cs="Times New Roman"/>
          <w:sz w:val="24"/>
          <w:szCs w:val="24"/>
        </w:rPr>
        <w:t xml:space="preserve"> The CBD is primarily founded on the precautionary and prevention principles which will be unveiled in this discourse.</w:t>
      </w:r>
    </w:p>
    <w:p w:rsidR="00203651" w:rsidRDefault="00A51FCE" w:rsidP="00315DC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E21289">
        <w:rPr>
          <w:rFonts w:ascii="Times New Roman" w:hAnsi="Times New Roman" w:cs="Times New Roman"/>
          <w:sz w:val="24"/>
          <w:szCs w:val="24"/>
        </w:rPr>
        <w:t xml:space="preserve">The Cartagena protocol on </w:t>
      </w:r>
      <w:r w:rsidR="004523ED">
        <w:rPr>
          <w:rFonts w:ascii="Times New Roman" w:hAnsi="Times New Roman" w:cs="Times New Roman"/>
          <w:sz w:val="24"/>
          <w:szCs w:val="24"/>
        </w:rPr>
        <w:t>Biosafety to</w:t>
      </w:r>
      <w:r w:rsidR="00E21289">
        <w:rPr>
          <w:rFonts w:ascii="Times New Roman" w:hAnsi="Times New Roman" w:cs="Times New Roman"/>
          <w:sz w:val="24"/>
          <w:szCs w:val="24"/>
        </w:rPr>
        <w:t xml:space="preserve"> the convention on Biological Diversity is a supplementary agreement to the CBD.</w:t>
      </w:r>
      <w:r w:rsidR="00203651">
        <w:rPr>
          <w:rFonts w:ascii="Times New Roman" w:hAnsi="Times New Roman" w:cs="Times New Roman"/>
          <w:sz w:val="24"/>
          <w:szCs w:val="24"/>
        </w:rPr>
        <w:t xml:space="preserve"> Biosafety is one of the issues addressed by the convention. This concept refers to the need to protect human health and the environment from the possible adverse effects of the products of modern biotechnology.</w:t>
      </w:r>
      <w:r w:rsidR="00E21289">
        <w:rPr>
          <w:rFonts w:ascii="Times New Roman" w:hAnsi="Times New Roman" w:cs="Times New Roman"/>
          <w:sz w:val="24"/>
          <w:szCs w:val="24"/>
        </w:rPr>
        <w:t xml:space="preserve"> It aims to ensure the safe handling, transport and use of living modified Organisms (LMOs) </w:t>
      </w:r>
      <w:r w:rsidR="003F31D7">
        <w:rPr>
          <w:rFonts w:ascii="Times New Roman" w:hAnsi="Times New Roman" w:cs="Times New Roman"/>
          <w:sz w:val="24"/>
          <w:szCs w:val="24"/>
        </w:rPr>
        <w:t>resulting from modern biotechnology that may have adverse effects on biological diversity, taking also int</w:t>
      </w:r>
      <w:r w:rsidR="004523ED">
        <w:rPr>
          <w:rFonts w:ascii="Times New Roman" w:hAnsi="Times New Roman" w:cs="Times New Roman"/>
          <w:sz w:val="24"/>
          <w:szCs w:val="24"/>
        </w:rPr>
        <w:t>o account risks to human health.</w:t>
      </w:r>
      <w:r w:rsidR="003F31D7">
        <w:rPr>
          <w:rFonts w:ascii="Times New Roman" w:hAnsi="Times New Roman" w:cs="Times New Roman"/>
          <w:sz w:val="24"/>
          <w:szCs w:val="24"/>
        </w:rPr>
        <w:t xml:space="preserve"> It adopts the precautionary principle in its p</w:t>
      </w:r>
      <w:r w:rsidR="0052207E">
        <w:rPr>
          <w:rFonts w:ascii="Times New Roman" w:hAnsi="Times New Roman" w:cs="Times New Roman"/>
          <w:sz w:val="24"/>
          <w:szCs w:val="24"/>
        </w:rPr>
        <w:t>reamble which requires states to take precaution and ensure that in exploitation of its resources or use even where there are no clear but probable hazards that may occur take measures to control or manage such occurrences when they occur</w:t>
      </w:r>
      <w:r w:rsidR="005B17AF">
        <w:rPr>
          <w:rFonts w:ascii="Times New Roman" w:hAnsi="Times New Roman" w:cs="Times New Roman"/>
          <w:sz w:val="24"/>
          <w:szCs w:val="24"/>
        </w:rPr>
        <w:t xml:space="preserve">. </w:t>
      </w:r>
      <w:r w:rsidR="00203651">
        <w:rPr>
          <w:rFonts w:ascii="Times New Roman" w:hAnsi="Times New Roman" w:cs="Times New Roman"/>
          <w:sz w:val="24"/>
          <w:szCs w:val="24"/>
        </w:rPr>
        <w:t xml:space="preserve">In accordance with the precautionary approach contained </w:t>
      </w:r>
      <w:r w:rsidR="00203651" w:rsidRPr="00203651">
        <w:rPr>
          <w:rFonts w:ascii="Times New Roman" w:hAnsi="Times New Roman" w:cs="Times New Roman"/>
          <w:b/>
          <w:sz w:val="24"/>
          <w:szCs w:val="24"/>
        </w:rPr>
        <w:t xml:space="preserve">in principle 15 of the Rio </w:t>
      </w:r>
      <w:r w:rsidR="00203651" w:rsidRPr="00203651">
        <w:rPr>
          <w:rFonts w:ascii="Times New Roman" w:hAnsi="Times New Roman" w:cs="Times New Roman"/>
          <w:b/>
          <w:sz w:val="24"/>
          <w:szCs w:val="24"/>
        </w:rPr>
        <w:lastRenderedPageBreak/>
        <w:t>Declaration on Environment and Development,</w:t>
      </w:r>
      <w:r w:rsidR="00203651" w:rsidRPr="005B17AF">
        <w:rPr>
          <w:rFonts w:ascii="Times New Roman" w:hAnsi="Times New Roman" w:cs="Times New Roman"/>
          <w:b/>
          <w:sz w:val="24"/>
          <w:szCs w:val="24"/>
        </w:rPr>
        <w:t xml:space="preserve"> Article</w:t>
      </w:r>
      <w:r w:rsidR="005B17AF" w:rsidRPr="005B17AF">
        <w:rPr>
          <w:rFonts w:ascii="Times New Roman" w:hAnsi="Times New Roman" w:cs="Times New Roman"/>
          <w:b/>
          <w:sz w:val="24"/>
          <w:szCs w:val="24"/>
        </w:rPr>
        <w:t xml:space="preserve"> 1</w:t>
      </w:r>
      <w:r w:rsidR="005B17AF">
        <w:rPr>
          <w:rFonts w:ascii="Times New Roman" w:hAnsi="Times New Roman" w:cs="Times New Roman"/>
          <w:sz w:val="24"/>
          <w:szCs w:val="24"/>
        </w:rPr>
        <w:t xml:space="preserve"> sets out the </w:t>
      </w:r>
      <w:r w:rsidR="005B17AF" w:rsidRPr="00BA6263">
        <w:rPr>
          <w:rFonts w:ascii="Times New Roman" w:hAnsi="Times New Roman" w:cs="Times New Roman"/>
          <w:b/>
          <w:sz w:val="24"/>
          <w:szCs w:val="24"/>
        </w:rPr>
        <w:t>objective of the Cartagena protocol</w:t>
      </w:r>
      <w:r w:rsidR="005B17AF">
        <w:rPr>
          <w:rFonts w:ascii="Times New Roman" w:hAnsi="Times New Roman" w:cs="Times New Roman"/>
          <w:sz w:val="24"/>
          <w:szCs w:val="24"/>
        </w:rPr>
        <w:t xml:space="preserve">, which is to contribute to ensuring an adequate level of protection in </w:t>
      </w:r>
    </w:p>
    <w:p w:rsidR="00203651" w:rsidRDefault="00203651" w:rsidP="00315DC3">
      <w:pPr>
        <w:pStyle w:val="ListParagraph"/>
        <w:jc w:val="both"/>
        <w:rPr>
          <w:rFonts w:ascii="Times New Roman" w:hAnsi="Times New Roman" w:cs="Times New Roman"/>
          <w:sz w:val="24"/>
          <w:szCs w:val="24"/>
        </w:rPr>
      </w:pPr>
    </w:p>
    <w:p w:rsidR="006E4ACF" w:rsidRPr="00203651" w:rsidRDefault="005B17AF" w:rsidP="00315DC3">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the field of the safe transfer, </w:t>
      </w:r>
      <w:r w:rsidR="00AA43A9">
        <w:rPr>
          <w:rFonts w:ascii="Times New Roman" w:hAnsi="Times New Roman" w:cs="Times New Roman"/>
          <w:sz w:val="24"/>
          <w:szCs w:val="24"/>
        </w:rPr>
        <w:t>handling and</w:t>
      </w:r>
      <w:r>
        <w:rPr>
          <w:rFonts w:ascii="Times New Roman" w:hAnsi="Times New Roman" w:cs="Times New Roman"/>
          <w:sz w:val="24"/>
          <w:szCs w:val="24"/>
        </w:rPr>
        <w:t xml:space="preserve"> use of living modified organisms resulting from modern biote</w:t>
      </w:r>
      <w:r w:rsidR="00AA43A9">
        <w:rPr>
          <w:rFonts w:ascii="Times New Roman" w:hAnsi="Times New Roman" w:cs="Times New Roman"/>
          <w:sz w:val="24"/>
          <w:szCs w:val="24"/>
        </w:rPr>
        <w:t xml:space="preserve">chnology that may have adverse effects on the conservation and sustainable use of biological diversity, </w:t>
      </w:r>
      <w:r w:rsidR="00AA43A9" w:rsidRPr="00AA43A9">
        <w:rPr>
          <w:rFonts w:ascii="Times New Roman" w:hAnsi="Times New Roman" w:cs="Times New Roman"/>
          <w:b/>
          <w:sz w:val="24"/>
          <w:szCs w:val="24"/>
        </w:rPr>
        <w:t>While taking into account risks to</w:t>
      </w:r>
      <w:r w:rsidR="00203651">
        <w:rPr>
          <w:rFonts w:ascii="Times New Roman" w:hAnsi="Times New Roman" w:cs="Times New Roman"/>
          <w:b/>
          <w:sz w:val="24"/>
          <w:szCs w:val="24"/>
        </w:rPr>
        <w:t xml:space="preserve"> human health, and specifically </w:t>
      </w:r>
      <w:r w:rsidR="00BA6263" w:rsidRPr="00203651">
        <w:rPr>
          <w:rFonts w:ascii="Times New Roman" w:hAnsi="Times New Roman" w:cs="Times New Roman"/>
          <w:b/>
          <w:sz w:val="24"/>
          <w:szCs w:val="24"/>
        </w:rPr>
        <w:t>Focusing</w:t>
      </w:r>
      <w:r w:rsidR="00AA43A9" w:rsidRPr="00203651">
        <w:rPr>
          <w:rFonts w:ascii="Times New Roman" w:hAnsi="Times New Roman" w:cs="Times New Roman"/>
          <w:b/>
          <w:sz w:val="24"/>
          <w:szCs w:val="24"/>
        </w:rPr>
        <w:t xml:space="preserve"> on transboundary movements. </w:t>
      </w:r>
      <w:r w:rsidR="00BA6263" w:rsidRPr="00203651">
        <w:rPr>
          <w:rFonts w:ascii="Times New Roman" w:hAnsi="Times New Roman" w:cs="Times New Roman"/>
          <w:sz w:val="24"/>
          <w:szCs w:val="24"/>
        </w:rPr>
        <w:t xml:space="preserve">The scope of this protocol is spelt out in article 4 which includes the transboundary movement, transit, and use of all living modified organisms that may have adverse effects on the conservation and sustainable use of biological </w:t>
      </w:r>
      <w:r w:rsidR="00906E08" w:rsidRPr="00203651">
        <w:rPr>
          <w:rFonts w:ascii="Times New Roman" w:hAnsi="Times New Roman" w:cs="Times New Roman"/>
          <w:sz w:val="24"/>
          <w:szCs w:val="24"/>
        </w:rPr>
        <w:t>diversity.</w:t>
      </w:r>
      <w:r w:rsidR="00906E08">
        <w:rPr>
          <w:rFonts w:ascii="Times New Roman" w:hAnsi="Times New Roman" w:cs="Times New Roman"/>
          <w:sz w:val="24"/>
          <w:szCs w:val="24"/>
        </w:rPr>
        <w:t xml:space="preserve"> Article 3defines LMO as any living Organism that possess any novel composition of genetic model material obtained through the use of modern biotechnology.</w:t>
      </w:r>
    </w:p>
    <w:p w:rsidR="002B6D1B" w:rsidRDefault="00BA6263" w:rsidP="00315DC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A51FCE">
        <w:rPr>
          <w:rFonts w:ascii="Times New Roman" w:hAnsi="Times New Roman" w:cs="Times New Roman"/>
          <w:sz w:val="24"/>
          <w:szCs w:val="24"/>
        </w:rPr>
        <w:t xml:space="preserve">     </w:t>
      </w:r>
      <w:r w:rsidR="002B6D1B">
        <w:rPr>
          <w:rFonts w:ascii="Times New Roman" w:hAnsi="Times New Roman" w:cs="Times New Roman"/>
          <w:sz w:val="24"/>
          <w:szCs w:val="24"/>
        </w:rPr>
        <w:t xml:space="preserve">      </w:t>
      </w:r>
      <w:r>
        <w:rPr>
          <w:rFonts w:ascii="Times New Roman" w:hAnsi="Times New Roman" w:cs="Times New Roman"/>
          <w:sz w:val="24"/>
          <w:szCs w:val="24"/>
        </w:rPr>
        <w:t xml:space="preserve">The primary governance tool employed by the Cartagena Protocol is </w:t>
      </w:r>
      <w:r w:rsidRPr="00BA6263">
        <w:rPr>
          <w:rFonts w:ascii="Times New Roman" w:hAnsi="Times New Roman" w:cs="Times New Roman"/>
          <w:b/>
          <w:sz w:val="24"/>
          <w:szCs w:val="24"/>
        </w:rPr>
        <w:t>the ADVANCED INFORMED AGREEMENT (</w:t>
      </w:r>
      <w:r>
        <w:rPr>
          <w:rFonts w:ascii="Times New Roman" w:hAnsi="Times New Roman" w:cs="Times New Roman"/>
          <w:sz w:val="24"/>
          <w:szCs w:val="24"/>
        </w:rPr>
        <w:t xml:space="preserve">AIA) as set out </w:t>
      </w:r>
      <w:r w:rsidRPr="00203651">
        <w:rPr>
          <w:rFonts w:ascii="Times New Roman" w:hAnsi="Times New Roman" w:cs="Times New Roman"/>
          <w:b/>
          <w:sz w:val="24"/>
          <w:szCs w:val="24"/>
        </w:rPr>
        <w:t>in article 7</w:t>
      </w:r>
      <w:r>
        <w:rPr>
          <w:rFonts w:ascii="Times New Roman" w:hAnsi="Times New Roman" w:cs="Times New Roman"/>
          <w:sz w:val="24"/>
          <w:szCs w:val="24"/>
        </w:rPr>
        <w:t xml:space="preserve">. The AIA procedure is designed to ensure that before an LMO is imported into a country for the first time for intentional introduction into the environment, the party of import: (a) Is notified about the proposed import; </w:t>
      </w:r>
      <w:r w:rsidR="006E4ACF">
        <w:rPr>
          <w:rFonts w:ascii="Times New Roman" w:hAnsi="Times New Roman" w:cs="Times New Roman"/>
          <w:sz w:val="24"/>
          <w:szCs w:val="24"/>
        </w:rPr>
        <w:t xml:space="preserve">(b) Receives full information about the LMO and its intendment and (c) Has an opportunity to assess the risks associated with that LMO and to decide whether or not to allow the import. In addition, the provisions </w:t>
      </w:r>
      <w:r w:rsidR="00AF423A">
        <w:rPr>
          <w:rFonts w:ascii="Times New Roman" w:hAnsi="Times New Roman" w:cs="Times New Roman"/>
          <w:sz w:val="24"/>
          <w:szCs w:val="24"/>
        </w:rPr>
        <w:t>of articles</w:t>
      </w:r>
      <w:r w:rsidR="00AF423A" w:rsidRPr="00AF423A">
        <w:rPr>
          <w:rFonts w:ascii="Times New Roman" w:hAnsi="Times New Roman" w:cs="Times New Roman"/>
          <w:b/>
          <w:sz w:val="24"/>
          <w:szCs w:val="24"/>
        </w:rPr>
        <w:t xml:space="preserve"> 8, 10, and 12</w:t>
      </w:r>
      <w:r w:rsidR="00AF423A">
        <w:rPr>
          <w:rFonts w:ascii="Times New Roman" w:hAnsi="Times New Roman" w:cs="Times New Roman"/>
          <w:sz w:val="24"/>
          <w:szCs w:val="24"/>
        </w:rPr>
        <w:t xml:space="preserve"> elaborates rules on notification by party of export to the party of import. </w:t>
      </w:r>
      <w:r w:rsidR="00AF423A" w:rsidRPr="00903A35">
        <w:rPr>
          <w:rFonts w:ascii="Times New Roman" w:hAnsi="Times New Roman" w:cs="Times New Roman"/>
          <w:b/>
          <w:sz w:val="24"/>
          <w:szCs w:val="24"/>
        </w:rPr>
        <w:t>Article 8</w:t>
      </w:r>
      <w:r w:rsidR="00903A35" w:rsidRPr="00903A35">
        <w:rPr>
          <w:rFonts w:ascii="Times New Roman" w:hAnsi="Times New Roman" w:cs="Times New Roman"/>
          <w:b/>
          <w:sz w:val="24"/>
          <w:szCs w:val="24"/>
        </w:rPr>
        <w:t>(1)</w:t>
      </w:r>
      <w:r w:rsidR="00903A35">
        <w:rPr>
          <w:rFonts w:ascii="Times New Roman" w:hAnsi="Times New Roman" w:cs="Times New Roman"/>
          <w:sz w:val="24"/>
          <w:szCs w:val="24"/>
        </w:rPr>
        <w:t xml:space="preserve"> basically</w:t>
      </w:r>
      <w:r w:rsidR="00AF423A">
        <w:rPr>
          <w:rFonts w:ascii="Times New Roman" w:hAnsi="Times New Roman" w:cs="Times New Roman"/>
          <w:sz w:val="24"/>
          <w:szCs w:val="24"/>
        </w:rPr>
        <w:t xml:space="preserve"> states that the party of export shall notify, or require the exporter to ensure notification to, in writing, </w:t>
      </w:r>
      <w:r w:rsidR="00903A35">
        <w:rPr>
          <w:rFonts w:ascii="Times New Roman" w:hAnsi="Times New Roman" w:cs="Times New Roman"/>
          <w:sz w:val="24"/>
          <w:szCs w:val="24"/>
        </w:rPr>
        <w:t>the competent national authority of the party of import prior to the intentional transboundary</w:t>
      </w:r>
      <w:r w:rsidR="004523ED">
        <w:rPr>
          <w:rFonts w:ascii="Times New Roman" w:hAnsi="Times New Roman" w:cs="Times New Roman"/>
          <w:sz w:val="24"/>
          <w:szCs w:val="24"/>
        </w:rPr>
        <w:t xml:space="preserve"> </w:t>
      </w:r>
      <w:r w:rsidR="00903A35">
        <w:rPr>
          <w:rFonts w:ascii="Times New Roman" w:hAnsi="Times New Roman" w:cs="Times New Roman"/>
          <w:sz w:val="24"/>
          <w:szCs w:val="24"/>
        </w:rPr>
        <w:t xml:space="preserve"> movement of a living modified organism that falls within the scope of Article 7, paragraph 1. The notification shall contain, at a minimum, the information specified in Annex1</w:t>
      </w:r>
      <w:r w:rsidR="00903A35" w:rsidRPr="00903A35">
        <w:rPr>
          <w:rFonts w:ascii="Times New Roman" w:hAnsi="Times New Roman" w:cs="Times New Roman"/>
          <w:b/>
          <w:sz w:val="24"/>
          <w:szCs w:val="24"/>
        </w:rPr>
        <w:t>. Article 8(2)</w:t>
      </w:r>
      <w:r w:rsidR="00903A35">
        <w:rPr>
          <w:rFonts w:ascii="Times New Roman" w:hAnsi="Times New Roman" w:cs="Times New Roman"/>
          <w:sz w:val="24"/>
          <w:szCs w:val="24"/>
        </w:rPr>
        <w:t xml:space="preserve"> States that the party of export shall ensure that there is a legal requirement for the accuracy of information provided by the exporter</w:t>
      </w:r>
      <w:r w:rsidR="00903A35" w:rsidRPr="00903A35">
        <w:rPr>
          <w:rFonts w:ascii="Times New Roman" w:hAnsi="Times New Roman" w:cs="Times New Roman"/>
          <w:b/>
          <w:sz w:val="24"/>
          <w:szCs w:val="24"/>
        </w:rPr>
        <w:t>. Article 1</w:t>
      </w:r>
      <w:r w:rsidR="007833F6">
        <w:rPr>
          <w:rFonts w:ascii="Times New Roman" w:hAnsi="Times New Roman" w:cs="Times New Roman"/>
          <w:b/>
          <w:sz w:val="24"/>
          <w:szCs w:val="24"/>
        </w:rPr>
        <w:t>0 states the decision procedure</w:t>
      </w:r>
      <w:r w:rsidR="00203651">
        <w:rPr>
          <w:rFonts w:ascii="Times New Roman" w:hAnsi="Times New Roman" w:cs="Times New Roman"/>
          <w:sz w:val="24"/>
          <w:szCs w:val="24"/>
        </w:rPr>
        <w:t xml:space="preserve">. </w:t>
      </w:r>
      <w:r w:rsidR="00203651" w:rsidRPr="00B0000E">
        <w:rPr>
          <w:rFonts w:ascii="Times New Roman" w:hAnsi="Times New Roman" w:cs="Times New Roman"/>
          <w:b/>
          <w:sz w:val="24"/>
          <w:szCs w:val="24"/>
        </w:rPr>
        <w:t>Article 12 provides</w:t>
      </w:r>
      <w:r w:rsidR="00B0000E" w:rsidRPr="00B0000E">
        <w:rPr>
          <w:rFonts w:ascii="Times New Roman" w:hAnsi="Times New Roman" w:cs="Times New Roman"/>
          <w:b/>
          <w:sz w:val="24"/>
          <w:szCs w:val="24"/>
        </w:rPr>
        <w:t xml:space="preserve"> for the Review of Decisions</w:t>
      </w:r>
      <w:r w:rsidR="00B0000E">
        <w:rPr>
          <w:rFonts w:ascii="Times New Roman" w:hAnsi="Times New Roman" w:cs="Times New Roman"/>
          <w:sz w:val="24"/>
          <w:szCs w:val="24"/>
        </w:rPr>
        <w:t>.</w:t>
      </w:r>
    </w:p>
    <w:p w:rsidR="002B6D1B" w:rsidRDefault="00B0000E" w:rsidP="00315DC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A51FCE">
        <w:rPr>
          <w:rFonts w:ascii="Times New Roman" w:hAnsi="Times New Roman" w:cs="Times New Roman"/>
          <w:sz w:val="24"/>
          <w:szCs w:val="24"/>
        </w:rPr>
        <w:t xml:space="preserve">          </w:t>
      </w:r>
      <w:r>
        <w:rPr>
          <w:rFonts w:ascii="Times New Roman" w:hAnsi="Times New Roman" w:cs="Times New Roman"/>
          <w:sz w:val="24"/>
          <w:szCs w:val="24"/>
        </w:rPr>
        <w:t xml:space="preserve">Article 23 promotes public awareness, education and participation regarding the safe transfer, handling and use of living modified organisms in relation to the conservation and sustainable use of biological diversity, taking also into account risks to human health. The role of national governments under </w:t>
      </w:r>
      <w:r w:rsidRPr="00B0000E">
        <w:rPr>
          <w:rFonts w:ascii="Times New Roman" w:hAnsi="Times New Roman" w:cs="Times New Roman"/>
          <w:b/>
          <w:sz w:val="24"/>
          <w:szCs w:val="24"/>
        </w:rPr>
        <w:t>article 19</w:t>
      </w:r>
      <w:r>
        <w:rPr>
          <w:rFonts w:ascii="Times New Roman" w:hAnsi="Times New Roman" w:cs="Times New Roman"/>
          <w:sz w:val="24"/>
          <w:szCs w:val="24"/>
        </w:rPr>
        <w:t xml:space="preserve"> includes the </w:t>
      </w:r>
      <w:r w:rsidR="00F73230">
        <w:rPr>
          <w:rFonts w:ascii="Times New Roman" w:hAnsi="Times New Roman" w:cs="Times New Roman"/>
          <w:sz w:val="24"/>
          <w:szCs w:val="24"/>
        </w:rPr>
        <w:t>designation of</w:t>
      </w:r>
      <w:r w:rsidR="00547BE2">
        <w:rPr>
          <w:rFonts w:ascii="Times New Roman" w:hAnsi="Times New Roman" w:cs="Times New Roman"/>
          <w:sz w:val="24"/>
          <w:szCs w:val="24"/>
        </w:rPr>
        <w:t xml:space="preserve"> competent national authorities and national focal points to act on its behalf with respect to the protocol</w:t>
      </w:r>
      <w:r w:rsidR="00F73230">
        <w:rPr>
          <w:rFonts w:ascii="Times New Roman" w:hAnsi="Times New Roman" w:cs="Times New Roman"/>
          <w:sz w:val="24"/>
          <w:szCs w:val="24"/>
        </w:rPr>
        <w:t xml:space="preserve">. Article 11(6) and (9) provide concessions for developing countries with respect to decision-making under the protocol, as well as the need for financial, technical assistance and capacity building.  </w:t>
      </w:r>
      <w:r w:rsidR="00F73230" w:rsidRPr="00F73230">
        <w:rPr>
          <w:rFonts w:ascii="Times New Roman" w:hAnsi="Times New Roman" w:cs="Times New Roman"/>
          <w:b/>
          <w:sz w:val="24"/>
          <w:szCs w:val="24"/>
        </w:rPr>
        <w:t>Article 20</w:t>
      </w:r>
      <w:r w:rsidR="00F73230">
        <w:rPr>
          <w:rFonts w:ascii="Times New Roman" w:hAnsi="Times New Roman" w:cs="Times New Roman"/>
          <w:sz w:val="24"/>
          <w:szCs w:val="24"/>
        </w:rPr>
        <w:t xml:space="preserve"> </w:t>
      </w:r>
      <w:r w:rsidR="002B6D1B">
        <w:rPr>
          <w:rFonts w:ascii="Times New Roman" w:hAnsi="Times New Roman" w:cs="Times New Roman"/>
          <w:sz w:val="24"/>
          <w:szCs w:val="24"/>
        </w:rPr>
        <w:t xml:space="preserve">the protocol establishes among other things </w:t>
      </w:r>
      <w:r w:rsidR="002B6D1B" w:rsidRPr="002B6D1B">
        <w:rPr>
          <w:rFonts w:ascii="Times New Roman" w:hAnsi="Times New Roman" w:cs="Times New Roman"/>
          <w:i/>
          <w:sz w:val="24"/>
          <w:szCs w:val="24"/>
        </w:rPr>
        <w:t xml:space="preserve">a Biosafety clearing house </w:t>
      </w:r>
      <w:r w:rsidR="002B6D1B">
        <w:rPr>
          <w:rFonts w:ascii="Times New Roman" w:hAnsi="Times New Roman" w:cs="Times New Roman"/>
          <w:sz w:val="24"/>
          <w:szCs w:val="24"/>
        </w:rPr>
        <w:t xml:space="preserve">whose functions include facilitating the exchange of scientific, technical, environmental and legal information on living modified Organisms; and assisting parties to implement the protocol, while taking into account the </w:t>
      </w:r>
      <w:r w:rsidR="002B6D1B">
        <w:rPr>
          <w:rFonts w:ascii="Times New Roman" w:hAnsi="Times New Roman" w:cs="Times New Roman"/>
          <w:sz w:val="24"/>
          <w:szCs w:val="24"/>
        </w:rPr>
        <w:lastRenderedPageBreak/>
        <w:t>special needs of developing country parties as well as countries that are centers of Origin and centers of genetic diversity.</w:t>
      </w:r>
    </w:p>
    <w:p w:rsidR="002B6D1B" w:rsidRDefault="002B6D1B" w:rsidP="00315DC3">
      <w:pPr>
        <w:pStyle w:val="ListParagraph"/>
        <w:jc w:val="both"/>
        <w:rPr>
          <w:rFonts w:ascii="Times New Roman" w:hAnsi="Times New Roman" w:cs="Times New Roman"/>
          <w:sz w:val="24"/>
          <w:szCs w:val="24"/>
        </w:rPr>
      </w:pPr>
      <w:r w:rsidRPr="002B6D1B">
        <w:rPr>
          <w:rFonts w:ascii="Times New Roman" w:hAnsi="Times New Roman" w:cs="Times New Roman"/>
          <w:b/>
          <w:sz w:val="24"/>
          <w:szCs w:val="24"/>
        </w:rPr>
        <w:t>Article 22</w:t>
      </w:r>
      <w:r>
        <w:rPr>
          <w:rFonts w:ascii="Times New Roman" w:hAnsi="Times New Roman" w:cs="Times New Roman"/>
          <w:sz w:val="24"/>
          <w:szCs w:val="24"/>
        </w:rPr>
        <w:t xml:space="preserve"> on capacity building provides that the parties are to cooperate in the development and/or strengthening of resources and access to and transfer of technology and know-how in accordance with the relevant provisions of the CBD.</w:t>
      </w:r>
    </w:p>
    <w:p w:rsidR="00906E08" w:rsidRDefault="00906E08" w:rsidP="00315DC3">
      <w:pPr>
        <w:pStyle w:val="ListParagraph"/>
        <w:jc w:val="both"/>
        <w:rPr>
          <w:rFonts w:ascii="Times New Roman" w:hAnsi="Times New Roman" w:cs="Times New Roman"/>
          <w:sz w:val="24"/>
          <w:szCs w:val="24"/>
        </w:rPr>
      </w:pPr>
    </w:p>
    <w:p w:rsidR="00A51FCE" w:rsidRDefault="002B6D1B" w:rsidP="00315DC3">
      <w:pPr>
        <w:pStyle w:val="ListParagraph"/>
        <w:jc w:val="both"/>
        <w:rPr>
          <w:rFonts w:ascii="Times New Roman" w:hAnsi="Times New Roman" w:cs="Times New Roman"/>
          <w:i/>
          <w:sz w:val="24"/>
          <w:szCs w:val="24"/>
        </w:rPr>
      </w:pPr>
      <w:r w:rsidRPr="002B6D1B">
        <w:rPr>
          <w:rFonts w:ascii="Times New Roman" w:hAnsi="Times New Roman" w:cs="Times New Roman"/>
          <w:b/>
          <w:sz w:val="24"/>
          <w:szCs w:val="24"/>
        </w:rPr>
        <w:t>Article 33</w:t>
      </w:r>
      <w:r>
        <w:rPr>
          <w:rFonts w:ascii="Times New Roman" w:hAnsi="Times New Roman" w:cs="Times New Roman"/>
          <w:sz w:val="24"/>
          <w:szCs w:val="24"/>
        </w:rPr>
        <w:t xml:space="preserve"> provides that each party will monitor the implementation of its obligations under the protocol, and report on measures that they have taken to implement it</w:t>
      </w:r>
      <w:r w:rsidR="00FC3766">
        <w:rPr>
          <w:rFonts w:ascii="Times New Roman" w:hAnsi="Times New Roman" w:cs="Times New Roman"/>
          <w:sz w:val="24"/>
          <w:szCs w:val="24"/>
        </w:rPr>
        <w:t>.</w:t>
      </w:r>
      <w:r w:rsidR="00A51FCE" w:rsidRPr="00FC3766">
        <w:rPr>
          <w:rFonts w:ascii="Times New Roman" w:hAnsi="Times New Roman" w:cs="Times New Roman"/>
          <w:b/>
          <w:sz w:val="24"/>
          <w:szCs w:val="24"/>
        </w:rPr>
        <w:t xml:space="preserve"> </w:t>
      </w:r>
      <w:r w:rsidR="00A51FCE" w:rsidRPr="00FC3766">
        <w:rPr>
          <w:rFonts w:ascii="Times New Roman" w:hAnsi="Times New Roman" w:cs="Times New Roman"/>
          <w:i/>
          <w:sz w:val="24"/>
          <w:szCs w:val="24"/>
        </w:rPr>
        <w:t>The conclusion of the Cartagena protocol has been hailed as a significant step forward in that it provides an international regulatory framework to reconcile the respective needs of trade and environmental protection with respect to a rapidly growing global industry, the biotechnology industry. The protocol creates a platform making it possible to derive maximum benefit from the potential that biotechnology has to offer, while minimizing the possible risks to the environment and to human health.</w:t>
      </w:r>
    </w:p>
    <w:p w:rsidR="00F455FE" w:rsidRPr="00F455FE" w:rsidRDefault="00F455FE" w:rsidP="00315DC3">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In addition, under the </w:t>
      </w:r>
      <w:r w:rsidRPr="00F72B93">
        <w:rPr>
          <w:rFonts w:ascii="Times New Roman" w:hAnsi="Times New Roman" w:cs="Times New Roman"/>
          <w:b/>
          <w:sz w:val="24"/>
          <w:szCs w:val="24"/>
        </w:rPr>
        <w:t>principle of sovereignty</w:t>
      </w:r>
      <w:r>
        <w:rPr>
          <w:rFonts w:ascii="Times New Roman" w:hAnsi="Times New Roman" w:cs="Times New Roman"/>
          <w:sz w:val="24"/>
          <w:szCs w:val="24"/>
        </w:rPr>
        <w:t xml:space="preserve"> upon which the convention on biological diversity is based as stated in </w:t>
      </w:r>
      <w:r w:rsidRPr="00F72B93">
        <w:rPr>
          <w:rFonts w:ascii="Times New Roman" w:hAnsi="Times New Roman" w:cs="Times New Roman"/>
          <w:b/>
          <w:sz w:val="24"/>
          <w:szCs w:val="24"/>
        </w:rPr>
        <w:t>Article 3</w:t>
      </w:r>
      <w:r>
        <w:rPr>
          <w:rFonts w:ascii="Times New Roman" w:hAnsi="Times New Roman" w:cs="Times New Roman"/>
          <w:sz w:val="24"/>
          <w:szCs w:val="24"/>
        </w:rPr>
        <w:t xml:space="preserve"> of the convention on biological diversity states that states have sovereign right to exploit their own resources pursuant to their </w:t>
      </w:r>
      <w:r w:rsidR="00DF54C9">
        <w:rPr>
          <w:rFonts w:ascii="Times New Roman" w:hAnsi="Times New Roman" w:cs="Times New Roman"/>
          <w:sz w:val="24"/>
          <w:szCs w:val="24"/>
        </w:rPr>
        <w:t xml:space="preserve">own environmental policies, and the responsibility to ensure that activities within their jurisdiction or control do not cause damage to the environment of other states or of areas beyond the limits of national jurisdiction. This in essence means that a state cannot exploit their natural resources at the risks of other states, Pursuant to this provision, </w:t>
      </w:r>
      <w:r w:rsidR="00DF54C9" w:rsidRPr="00F72B93">
        <w:rPr>
          <w:rFonts w:ascii="Times New Roman" w:hAnsi="Times New Roman" w:cs="Times New Roman"/>
          <w:b/>
          <w:sz w:val="24"/>
          <w:szCs w:val="24"/>
        </w:rPr>
        <w:t>Article14</w:t>
      </w:r>
      <w:r w:rsidR="00DF54C9">
        <w:rPr>
          <w:rFonts w:ascii="Times New Roman" w:hAnsi="Times New Roman" w:cs="Times New Roman"/>
          <w:sz w:val="24"/>
          <w:szCs w:val="24"/>
        </w:rPr>
        <w:t xml:space="preserve"> enjoins state to carry out preventive measures such as </w:t>
      </w:r>
      <w:r w:rsidR="00DF54C9" w:rsidRPr="00F72B93">
        <w:rPr>
          <w:rFonts w:ascii="Times New Roman" w:hAnsi="Times New Roman" w:cs="Times New Roman"/>
          <w:b/>
          <w:sz w:val="24"/>
          <w:szCs w:val="24"/>
        </w:rPr>
        <w:t>Environmental impact Assessment</w:t>
      </w:r>
      <w:r w:rsidR="009479AB">
        <w:rPr>
          <w:rFonts w:ascii="Times New Roman" w:hAnsi="Times New Roman" w:cs="Times New Roman"/>
          <w:sz w:val="24"/>
          <w:szCs w:val="24"/>
        </w:rPr>
        <w:t xml:space="preserve">, It provides that each party is to introduce appropriate environmental impact assessment procedures for proposed projects that are likely to have significant adverse effects on biological diversity with a view to minimizing or avoiding such effects and where appropriate, allow for public participation in such procedures. In addition, parties are to introduce arrangements that ensure that environmental consequences of their programmes and policies that are likely to have significant adverse impacts on biological diversity are duly taken into account, and notify other states where activities within their jurisdiction will affect the biodiversity in another jurisdiction. </w:t>
      </w:r>
    </w:p>
    <w:p w:rsidR="00E21289" w:rsidRDefault="002B6D1B" w:rsidP="00315DC3">
      <w:pPr>
        <w:pStyle w:val="ListParagraph"/>
        <w:jc w:val="both"/>
        <w:rPr>
          <w:rFonts w:ascii="Times New Roman" w:hAnsi="Times New Roman" w:cs="Times New Roman"/>
          <w:sz w:val="24"/>
          <w:szCs w:val="24"/>
        </w:rPr>
      </w:pPr>
      <w:r w:rsidRPr="009479AB">
        <w:rPr>
          <w:rFonts w:ascii="Times New Roman" w:hAnsi="Times New Roman" w:cs="Times New Roman"/>
          <w:b/>
          <w:sz w:val="24"/>
          <w:szCs w:val="24"/>
        </w:rPr>
        <w:t xml:space="preserve"> </w:t>
      </w:r>
      <w:r w:rsidR="00A51FCE" w:rsidRPr="009479AB">
        <w:rPr>
          <w:rFonts w:ascii="Times New Roman" w:hAnsi="Times New Roman" w:cs="Times New Roman"/>
          <w:b/>
          <w:sz w:val="24"/>
          <w:szCs w:val="24"/>
        </w:rPr>
        <w:t xml:space="preserve">         Answering the hypothetical scenario</w:t>
      </w:r>
      <w:r w:rsidR="00A51FCE">
        <w:rPr>
          <w:rFonts w:ascii="Times New Roman" w:hAnsi="Times New Roman" w:cs="Times New Roman"/>
          <w:sz w:val="24"/>
          <w:szCs w:val="24"/>
        </w:rPr>
        <w:t xml:space="preserve">, in light of the rules stated above </w:t>
      </w:r>
      <w:r w:rsidR="00BF1D70">
        <w:rPr>
          <w:rFonts w:ascii="Times New Roman" w:hAnsi="Times New Roman" w:cs="Times New Roman"/>
          <w:sz w:val="24"/>
          <w:szCs w:val="24"/>
        </w:rPr>
        <w:t xml:space="preserve">`it is evident that living modified organisms can have adverse effects on flora and fauna as well as the health of humans due to modern biotechnology and as such, it is necessary to have a legal framework to guide against </w:t>
      </w:r>
      <w:r w:rsidR="009479AB">
        <w:rPr>
          <w:rFonts w:ascii="Times New Roman" w:hAnsi="Times New Roman" w:cs="Times New Roman"/>
          <w:sz w:val="24"/>
          <w:szCs w:val="24"/>
        </w:rPr>
        <w:t>this negative effect</w:t>
      </w:r>
      <w:r w:rsidR="00BF1D70">
        <w:rPr>
          <w:rFonts w:ascii="Times New Roman" w:hAnsi="Times New Roman" w:cs="Times New Roman"/>
          <w:sz w:val="24"/>
          <w:szCs w:val="24"/>
        </w:rPr>
        <w:t>. Resolving the first legal poser, the grains exported to the Doro community can be said to</w:t>
      </w:r>
      <w:r w:rsidR="00381F5B">
        <w:rPr>
          <w:rFonts w:ascii="Times New Roman" w:hAnsi="Times New Roman" w:cs="Times New Roman"/>
          <w:sz w:val="24"/>
          <w:szCs w:val="24"/>
        </w:rPr>
        <w:t xml:space="preserve"> be</w:t>
      </w:r>
      <w:r w:rsidR="00BF1D70">
        <w:rPr>
          <w:rFonts w:ascii="Times New Roman" w:hAnsi="Times New Roman" w:cs="Times New Roman"/>
          <w:sz w:val="24"/>
          <w:szCs w:val="24"/>
        </w:rPr>
        <w:t xml:space="preserve"> classified as living modified or</w:t>
      </w:r>
      <w:r w:rsidR="00381F5B">
        <w:rPr>
          <w:rFonts w:ascii="Times New Roman" w:hAnsi="Times New Roman" w:cs="Times New Roman"/>
          <w:sz w:val="24"/>
          <w:szCs w:val="24"/>
        </w:rPr>
        <w:t>ganisms because the MXZ19</w:t>
      </w:r>
      <w:r w:rsidR="00BF1D70">
        <w:rPr>
          <w:rFonts w:ascii="Times New Roman" w:hAnsi="Times New Roman" w:cs="Times New Roman"/>
          <w:sz w:val="24"/>
          <w:szCs w:val="24"/>
        </w:rPr>
        <w:t xml:space="preserve"> were obtained through the use of modern technology and they possessed a novel composition </w:t>
      </w:r>
      <w:r w:rsidR="00FC623F">
        <w:rPr>
          <w:rFonts w:ascii="Times New Roman" w:hAnsi="Times New Roman" w:cs="Times New Roman"/>
          <w:sz w:val="24"/>
          <w:szCs w:val="24"/>
        </w:rPr>
        <w:t xml:space="preserve">of genetic model material thereby making them LMOs. This Modified grains in the long run led to catastrophic consequences on the arable land of the Doro community by killing the ground beetles, ladybugs, and praying mantis which acted as a natural pesticide, This was as a result of </w:t>
      </w:r>
      <w:r w:rsidR="00FC623F">
        <w:rPr>
          <w:rFonts w:ascii="Times New Roman" w:hAnsi="Times New Roman" w:cs="Times New Roman"/>
          <w:sz w:val="24"/>
          <w:szCs w:val="24"/>
        </w:rPr>
        <w:lastRenderedPageBreak/>
        <w:t xml:space="preserve">the failure of the Chad Republic to carry out an </w:t>
      </w:r>
      <w:r w:rsidR="00FC623F" w:rsidRPr="00381F5B">
        <w:rPr>
          <w:rFonts w:ascii="Times New Roman" w:hAnsi="Times New Roman" w:cs="Times New Roman"/>
          <w:b/>
          <w:sz w:val="24"/>
          <w:szCs w:val="24"/>
        </w:rPr>
        <w:t>advanced informed Agreement</w:t>
      </w:r>
      <w:r w:rsidR="00FC623F">
        <w:rPr>
          <w:rFonts w:ascii="Times New Roman" w:hAnsi="Times New Roman" w:cs="Times New Roman"/>
          <w:sz w:val="24"/>
          <w:szCs w:val="24"/>
        </w:rPr>
        <w:t xml:space="preserve"> as provided in </w:t>
      </w:r>
      <w:r w:rsidR="00FC623F" w:rsidRPr="00381F5B">
        <w:rPr>
          <w:rFonts w:ascii="Times New Roman" w:hAnsi="Times New Roman" w:cs="Times New Roman"/>
          <w:b/>
          <w:sz w:val="24"/>
          <w:szCs w:val="24"/>
        </w:rPr>
        <w:t>Arti</w:t>
      </w:r>
      <w:r w:rsidR="00381F5B" w:rsidRPr="00381F5B">
        <w:rPr>
          <w:rFonts w:ascii="Times New Roman" w:hAnsi="Times New Roman" w:cs="Times New Roman"/>
          <w:b/>
          <w:sz w:val="24"/>
          <w:szCs w:val="24"/>
        </w:rPr>
        <w:t>cle 7 of the Cartagena Protoco</w:t>
      </w:r>
      <w:r w:rsidR="00381F5B">
        <w:rPr>
          <w:rFonts w:ascii="Times New Roman" w:hAnsi="Times New Roman" w:cs="Times New Roman"/>
          <w:sz w:val="24"/>
          <w:szCs w:val="24"/>
        </w:rPr>
        <w:t xml:space="preserve">l. The Chad Republic did not notify the Doro community </w:t>
      </w:r>
      <w:r w:rsidR="00381F5B" w:rsidRPr="00381F5B">
        <w:rPr>
          <w:rFonts w:ascii="Times New Roman" w:hAnsi="Times New Roman" w:cs="Times New Roman"/>
          <w:b/>
          <w:sz w:val="24"/>
          <w:szCs w:val="24"/>
        </w:rPr>
        <w:t>before</w:t>
      </w:r>
      <w:r w:rsidR="00381F5B">
        <w:rPr>
          <w:rFonts w:ascii="Times New Roman" w:hAnsi="Times New Roman" w:cs="Times New Roman"/>
          <w:sz w:val="24"/>
          <w:szCs w:val="24"/>
        </w:rPr>
        <w:t xml:space="preserve"> they exported the MXZ19 neither did they give them full information about the Living modified organism MXZ19 thereby preventing the state of import Doro community from assessing the risks associated with that MXZ19, Which made it impossible for the Doro community to decide whether or not to allow the import of the modified grains. This clearly shows that the protocol makes provision for a procedure to be carried out </w:t>
      </w:r>
      <w:r w:rsidR="00737F78">
        <w:rPr>
          <w:rFonts w:ascii="Times New Roman" w:hAnsi="Times New Roman" w:cs="Times New Roman"/>
          <w:sz w:val="24"/>
          <w:szCs w:val="24"/>
        </w:rPr>
        <w:t>before the export of modified grains. Irrespective of the fact that the Chad Republic did not intend to destroy the land of the Doro community their failure to carry out the lay down procedure as enunciated in Article 7, 8, 10 and 12 of the Cartagena protocol makes them liable for the negative impacts the grains caused on the state of import</w:t>
      </w:r>
      <w:r w:rsidR="00737F78" w:rsidRPr="0073316E">
        <w:rPr>
          <w:rFonts w:ascii="Times New Roman" w:hAnsi="Times New Roman" w:cs="Times New Roman"/>
          <w:b/>
          <w:sz w:val="24"/>
          <w:szCs w:val="24"/>
        </w:rPr>
        <w:t>.</w:t>
      </w:r>
      <w:r w:rsidR="00F72B93" w:rsidRPr="0073316E">
        <w:rPr>
          <w:rFonts w:ascii="Times New Roman" w:hAnsi="Times New Roman" w:cs="Times New Roman"/>
          <w:b/>
          <w:sz w:val="24"/>
          <w:szCs w:val="24"/>
        </w:rPr>
        <w:t xml:space="preserve"> Answering the fourth legal issue</w:t>
      </w:r>
      <w:r w:rsidR="00F72B93">
        <w:rPr>
          <w:rFonts w:ascii="Times New Roman" w:hAnsi="Times New Roman" w:cs="Times New Roman"/>
          <w:sz w:val="24"/>
          <w:szCs w:val="24"/>
        </w:rPr>
        <w:t>, If the Chadian Government had carried out an Environmental impact Assessment they would have been able to access and analyze the risk associated with the geothermal project and by doing so they would have been able to gauge their proposed activity so that they do not cause harm to another state in applying the aforementioned principle, they cannot use their sovereignty as a defense because it violates the context of sovereignty in relation to the convention on Biological diversity</w:t>
      </w:r>
      <w:r w:rsidR="0073316E">
        <w:rPr>
          <w:rFonts w:ascii="Times New Roman" w:hAnsi="Times New Roman" w:cs="Times New Roman"/>
          <w:sz w:val="24"/>
          <w:szCs w:val="24"/>
        </w:rPr>
        <w:t>, If the context of Article 3 and Article 14 of the CBD was not violated, the issues that Emerged would have been avoided.</w:t>
      </w:r>
    </w:p>
    <w:p w:rsidR="00737F78" w:rsidRDefault="00251AED" w:rsidP="00315DC3">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sidR="00737F78" w:rsidRPr="00251AED">
        <w:rPr>
          <w:rFonts w:ascii="Times New Roman" w:hAnsi="Times New Roman" w:cs="Times New Roman"/>
          <w:b/>
          <w:sz w:val="24"/>
          <w:szCs w:val="24"/>
        </w:rPr>
        <w:t>I</w:t>
      </w:r>
      <w:r w:rsidR="00774CE9" w:rsidRPr="00251AED">
        <w:rPr>
          <w:rFonts w:ascii="Times New Roman" w:hAnsi="Times New Roman" w:cs="Times New Roman"/>
          <w:b/>
          <w:sz w:val="24"/>
          <w:szCs w:val="24"/>
        </w:rPr>
        <w:t>n conclusion</w:t>
      </w:r>
      <w:r w:rsidR="00774CE9">
        <w:rPr>
          <w:rFonts w:ascii="Times New Roman" w:hAnsi="Times New Roman" w:cs="Times New Roman"/>
          <w:sz w:val="24"/>
          <w:szCs w:val="24"/>
        </w:rPr>
        <w:t>, The Adverse effects</w:t>
      </w:r>
      <w:r w:rsidR="00737F78">
        <w:rPr>
          <w:rFonts w:ascii="Times New Roman" w:hAnsi="Times New Roman" w:cs="Times New Roman"/>
          <w:sz w:val="24"/>
          <w:szCs w:val="24"/>
        </w:rPr>
        <w:t xml:space="preserve"> the grains had on the Arable Land of the Doro community would have been avoided if they had carried out an Advanced informed </w:t>
      </w:r>
      <w:r>
        <w:rPr>
          <w:rFonts w:ascii="Times New Roman" w:hAnsi="Times New Roman" w:cs="Times New Roman"/>
          <w:sz w:val="24"/>
          <w:szCs w:val="24"/>
        </w:rPr>
        <w:t xml:space="preserve">            </w:t>
      </w:r>
      <w:r w:rsidR="00737F78">
        <w:rPr>
          <w:rFonts w:ascii="Times New Roman" w:hAnsi="Times New Roman" w:cs="Times New Roman"/>
          <w:sz w:val="24"/>
          <w:szCs w:val="24"/>
        </w:rPr>
        <w:t>Agreement which is the crux of this discourse, This violation of the provisions of the Cartagena Protocol led to serious negativ</w:t>
      </w:r>
      <w:r w:rsidR="00774CE9">
        <w:rPr>
          <w:rFonts w:ascii="Times New Roman" w:hAnsi="Times New Roman" w:cs="Times New Roman"/>
          <w:sz w:val="24"/>
          <w:szCs w:val="24"/>
        </w:rPr>
        <w:t>e impacts on the community .In</w:t>
      </w:r>
      <w:r w:rsidR="00737F78">
        <w:rPr>
          <w:rFonts w:ascii="Times New Roman" w:hAnsi="Times New Roman" w:cs="Times New Roman"/>
          <w:sz w:val="24"/>
          <w:szCs w:val="24"/>
        </w:rPr>
        <w:t xml:space="preserve"> light of </w:t>
      </w:r>
      <w:r w:rsidR="00774CE9">
        <w:rPr>
          <w:rFonts w:ascii="Times New Roman" w:hAnsi="Times New Roman" w:cs="Times New Roman"/>
          <w:sz w:val="24"/>
          <w:szCs w:val="24"/>
        </w:rPr>
        <w:t>the legal framework, It is evident without doubts that the Chad Republic will be liable for the ills suffered by the Doro community. It is this writer’s opinion that to prevent such from happening again, Chad</w:t>
      </w:r>
      <w:r>
        <w:rPr>
          <w:rFonts w:ascii="Times New Roman" w:hAnsi="Times New Roman" w:cs="Times New Roman"/>
          <w:sz w:val="24"/>
          <w:szCs w:val="24"/>
        </w:rPr>
        <w:t xml:space="preserve"> Republic</w:t>
      </w:r>
      <w:r w:rsidR="00774CE9">
        <w:rPr>
          <w:rFonts w:ascii="Times New Roman" w:hAnsi="Times New Roman" w:cs="Times New Roman"/>
          <w:sz w:val="24"/>
          <w:szCs w:val="24"/>
        </w:rPr>
        <w:t xml:space="preserve"> should ensure that they carry out a required Environmental impac</w:t>
      </w:r>
      <w:r>
        <w:rPr>
          <w:rFonts w:ascii="Times New Roman" w:hAnsi="Times New Roman" w:cs="Times New Roman"/>
          <w:sz w:val="24"/>
          <w:szCs w:val="24"/>
        </w:rPr>
        <w:t>t assessment before embarking on</w:t>
      </w:r>
      <w:r w:rsidR="00774CE9">
        <w:rPr>
          <w:rFonts w:ascii="Times New Roman" w:hAnsi="Times New Roman" w:cs="Times New Roman"/>
          <w:sz w:val="24"/>
          <w:szCs w:val="24"/>
        </w:rPr>
        <w:t xml:space="preserve"> any project in other to gauge and analyze the negative and positive impacts that project</w:t>
      </w:r>
      <w:r>
        <w:rPr>
          <w:rFonts w:ascii="Times New Roman" w:hAnsi="Times New Roman" w:cs="Times New Roman"/>
          <w:sz w:val="24"/>
          <w:szCs w:val="24"/>
        </w:rPr>
        <w:t xml:space="preserve"> </w:t>
      </w:r>
      <w:r w:rsidR="0073316E">
        <w:rPr>
          <w:rFonts w:ascii="Times New Roman" w:hAnsi="Times New Roman" w:cs="Times New Roman"/>
          <w:sz w:val="24"/>
          <w:szCs w:val="24"/>
        </w:rPr>
        <w:t>might cause on the environment as stated in Article 14 of the CBD.</w:t>
      </w:r>
    </w:p>
    <w:p w:rsidR="00737F78" w:rsidRDefault="00737F78" w:rsidP="00315DC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2B6D1B" w:rsidRPr="002B6D1B" w:rsidRDefault="002B6D1B" w:rsidP="006034CC">
      <w:pPr>
        <w:pStyle w:val="ListParagraph"/>
        <w:rPr>
          <w:rFonts w:ascii="Times New Roman" w:hAnsi="Times New Roman" w:cs="Times New Roman"/>
          <w:sz w:val="24"/>
          <w:szCs w:val="24"/>
        </w:rPr>
      </w:pPr>
    </w:p>
    <w:p w:rsidR="00235A7D" w:rsidRDefault="00235A7D" w:rsidP="00235A7D">
      <w:pPr>
        <w:jc w:val="center"/>
        <w:rPr>
          <w:rFonts w:ascii="Times New Roman" w:hAnsi="Times New Roman" w:cs="Times New Roman"/>
          <w:sz w:val="32"/>
          <w:szCs w:val="32"/>
        </w:rPr>
      </w:pPr>
    </w:p>
    <w:p w:rsidR="00235A7D" w:rsidRDefault="00235A7D" w:rsidP="00235A7D">
      <w:pPr>
        <w:jc w:val="center"/>
        <w:rPr>
          <w:rFonts w:ascii="Times New Roman" w:hAnsi="Times New Roman" w:cs="Times New Roman"/>
          <w:sz w:val="32"/>
          <w:szCs w:val="32"/>
        </w:rPr>
      </w:pPr>
    </w:p>
    <w:p w:rsidR="00235A7D" w:rsidRDefault="00AF423A" w:rsidP="00235A7D">
      <w:pPr>
        <w:jc w:val="center"/>
        <w:rPr>
          <w:rFonts w:ascii="Times New Roman" w:hAnsi="Times New Roman" w:cs="Times New Roman"/>
          <w:sz w:val="32"/>
          <w:szCs w:val="32"/>
        </w:rPr>
      </w:pPr>
      <w:r>
        <w:rPr>
          <w:rFonts w:ascii="Times New Roman" w:hAnsi="Times New Roman" w:cs="Times New Roman"/>
          <w:sz w:val="32"/>
          <w:szCs w:val="32"/>
        </w:rPr>
        <w:t xml:space="preserve"> </w:t>
      </w:r>
    </w:p>
    <w:p w:rsidR="00451BB0" w:rsidRDefault="00451BB0">
      <w:pPr>
        <w:rPr>
          <w:rFonts w:ascii="Times New Roman" w:hAnsi="Times New Roman" w:cs="Times New Roman"/>
          <w:sz w:val="32"/>
          <w:szCs w:val="32"/>
        </w:rPr>
      </w:pPr>
    </w:p>
    <w:p w:rsidR="00451BB0" w:rsidRPr="00451BB0" w:rsidRDefault="00451BB0">
      <w:pPr>
        <w:rPr>
          <w:rFonts w:ascii="Times New Roman" w:hAnsi="Times New Roman" w:cs="Times New Roman"/>
          <w:sz w:val="32"/>
          <w:szCs w:val="32"/>
        </w:rPr>
      </w:pPr>
    </w:p>
    <w:sectPr w:rsidR="00451BB0" w:rsidRPr="00451BB0" w:rsidSect="0043701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4AD" w:rsidRDefault="00B404AD" w:rsidP="00B35261">
      <w:pPr>
        <w:spacing w:after="0" w:line="240" w:lineRule="auto"/>
      </w:pPr>
      <w:r>
        <w:separator/>
      </w:r>
    </w:p>
  </w:endnote>
  <w:endnote w:type="continuationSeparator" w:id="1">
    <w:p w:rsidR="00B404AD" w:rsidRDefault="00B404AD" w:rsidP="00B35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6501"/>
      <w:docPartObj>
        <w:docPartGallery w:val="Page Numbers (Bottom of Page)"/>
        <w:docPartUnique/>
      </w:docPartObj>
    </w:sdtPr>
    <w:sdtContent>
      <w:p w:rsidR="009479AB" w:rsidRDefault="009479AB">
        <w:pPr>
          <w:pStyle w:val="Footer"/>
          <w:jc w:val="right"/>
        </w:pPr>
        <w:fldSimple w:instr=" PAGE   \* MERGEFORMAT ">
          <w:r w:rsidR="0073316E">
            <w:rPr>
              <w:noProof/>
            </w:rPr>
            <w:t>1</w:t>
          </w:r>
        </w:fldSimple>
      </w:p>
    </w:sdtContent>
  </w:sdt>
  <w:p w:rsidR="009479AB" w:rsidRDefault="00947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4AD" w:rsidRDefault="00B404AD" w:rsidP="00B35261">
      <w:pPr>
        <w:spacing w:after="0" w:line="240" w:lineRule="auto"/>
      </w:pPr>
      <w:r>
        <w:separator/>
      </w:r>
    </w:p>
  </w:footnote>
  <w:footnote w:type="continuationSeparator" w:id="1">
    <w:p w:rsidR="00B404AD" w:rsidRDefault="00B404AD" w:rsidP="00B35261">
      <w:pPr>
        <w:spacing w:after="0" w:line="240" w:lineRule="auto"/>
      </w:pPr>
      <w:r>
        <w:continuationSeparator/>
      </w:r>
    </w:p>
  </w:footnote>
  <w:footnote w:id="2">
    <w:p w:rsidR="009479AB" w:rsidRDefault="009479AB">
      <w:pPr>
        <w:pStyle w:val="FootnoteText"/>
      </w:pPr>
      <w:r>
        <w:rPr>
          <w:rStyle w:val="FootnoteReference"/>
        </w:rPr>
        <w:footnoteRef/>
      </w:r>
      <w:r>
        <w:t xml:space="preserve"> The Cartagena protocol on Biosafety to the convention on Biological Diversity, 29 January 2000,2226 UNTS 208,</w:t>
      </w:r>
      <w:hyperlink r:id="rId1" w:history="1">
        <w:r w:rsidRPr="00453C74">
          <w:rPr>
            <w:rStyle w:val="Hyperlink"/>
          </w:rPr>
          <w:t>http://bch.cbd.int/protocol/text/</w:t>
        </w:r>
      </w:hyperlink>
      <w:r>
        <w:t>(accesses July 21, 2015)</w:t>
      </w:r>
    </w:p>
  </w:footnote>
  <w:footnote w:id="3">
    <w:p w:rsidR="009479AB" w:rsidRDefault="009479AB">
      <w:pPr>
        <w:pStyle w:val="FootnoteText"/>
      </w:pPr>
      <w:r>
        <w:rPr>
          <w:rStyle w:val="FootnoteReference"/>
        </w:rPr>
        <w:footnoteRef/>
      </w:r>
      <w:r>
        <w:t xml:space="preserve"> See the Nagoya protocol and Access and Benefit sharing to the convention on Biological Diversity, 29 October 2010, &lt;http:// </w:t>
      </w:r>
      <w:hyperlink r:id="rId2" w:history="1">
        <w:r w:rsidRPr="00453C74">
          <w:rPr>
            <w:rStyle w:val="Hyperlink"/>
          </w:rPr>
          <w:t>www.cbd.int/abs/text/.&gt;(acessed</w:t>
        </w:r>
      </w:hyperlink>
      <w:r>
        <w:t xml:space="preserve"> July 21,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F3CBC"/>
    <w:multiLevelType w:val="hybridMultilevel"/>
    <w:tmpl w:val="F794B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D4610"/>
    <w:multiLevelType w:val="hybridMultilevel"/>
    <w:tmpl w:val="62108622"/>
    <w:lvl w:ilvl="0" w:tplc="477A7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74D20"/>
    <w:multiLevelType w:val="hybridMultilevel"/>
    <w:tmpl w:val="6F662F12"/>
    <w:lvl w:ilvl="0" w:tplc="B0A64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51BB0"/>
    <w:rsid w:val="000A716C"/>
    <w:rsid w:val="00133C2C"/>
    <w:rsid w:val="00203651"/>
    <w:rsid w:val="00235A7D"/>
    <w:rsid w:val="00251AED"/>
    <w:rsid w:val="002B6D1B"/>
    <w:rsid w:val="00315DC3"/>
    <w:rsid w:val="00381F5B"/>
    <w:rsid w:val="003C7B52"/>
    <w:rsid w:val="003F31D7"/>
    <w:rsid w:val="00437010"/>
    <w:rsid w:val="00451BB0"/>
    <w:rsid w:val="004523ED"/>
    <w:rsid w:val="0052207E"/>
    <w:rsid w:val="00547BE2"/>
    <w:rsid w:val="00566FCF"/>
    <w:rsid w:val="005B17AF"/>
    <w:rsid w:val="006034CC"/>
    <w:rsid w:val="006E4ACF"/>
    <w:rsid w:val="00714442"/>
    <w:rsid w:val="0073316E"/>
    <w:rsid w:val="00737F78"/>
    <w:rsid w:val="00774CE9"/>
    <w:rsid w:val="007833F6"/>
    <w:rsid w:val="007A5829"/>
    <w:rsid w:val="007F7482"/>
    <w:rsid w:val="00814C46"/>
    <w:rsid w:val="0088522F"/>
    <w:rsid w:val="00903A35"/>
    <w:rsid w:val="00906E08"/>
    <w:rsid w:val="009479AB"/>
    <w:rsid w:val="00A51FCE"/>
    <w:rsid w:val="00A74855"/>
    <w:rsid w:val="00A81AFB"/>
    <w:rsid w:val="00AA43A9"/>
    <w:rsid w:val="00AF423A"/>
    <w:rsid w:val="00B0000E"/>
    <w:rsid w:val="00B35261"/>
    <w:rsid w:val="00B404AD"/>
    <w:rsid w:val="00BA15C5"/>
    <w:rsid w:val="00BA6263"/>
    <w:rsid w:val="00BF1D70"/>
    <w:rsid w:val="00CE326E"/>
    <w:rsid w:val="00D54DBE"/>
    <w:rsid w:val="00DA175C"/>
    <w:rsid w:val="00DF54C9"/>
    <w:rsid w:val="00E21289"/>
    <w:rsid w:val="00EA0FA0"/>
    <w:rsid w:val="00F455FE"/>
    <w:rsid w:val="00F72B93"/>
    <w:rsid w:val="00F73230"/>
    <w:rsid w:val="00FC3766"/>
    <w:rsid w:val="00FC6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5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261"/>
    <w:rPr>
      <w:sz w:val="20"/>
      <w:szCs w:val="20"/>
    </w:rPr>
  </w:style>
  <w:style w:type="character" w:styleId="FootnoteReference">
    <w:name w:val="footnote reference"/>
    <w:basedOn w:val="DefaultParagraphFont"/>
    <w:uiPriority w:val="99"/>
    <w:semiHidden/>
    <w:unhideWhenUsed/>
    <w:rsid w:val="00B35261"/>
    <w:rPr>
      <w:vertAlign w:val="superscript"/>
    </w:rPr>
  </w:style>
  <w:style w:type="character" w:styleId="Hyperlink">
    <w:name w:val="Hyperlink"/>
    <w:basedOn w:val="DefaultParagraphFont"/>
    <w:uiPriority w:val="99"/>
    <w:unhideWhenUsed/>
    <w:rsid w:val="00B35261"/>
    <w:rPr>
      <w:color w:val="0000FF" w:themeColor="hyperlink"/>
      <w:u w:val="single"/>
    </w:rPr>
  </w:style>
  <w:style w:type="paragraph" w:styleId="ListParagraph">
    <w:name w:val="List Paragraph"/>
    <w:basedOn w:val="Normal"/>
    <w:uiPriority w:val="34"/>
    <w:qFormat/>
    <w:rsid w:val="00235A7D"/>
    <w:pPr>
      <w:ind w:left="720"/>
      <w:contextualSpacing/>
    </w:pPr>
  </w:style>
  <w:style w:type="paragraph" w:styleId="BalloonText">
    <w:name w:val="Balloon Text"/>
    <w:basedOn w:val="Normal"/>
    <w:link w:val="BalloonTextChar"/>
    <w:uiPriority w:val="99"/>
    <w:semiHidden/>
    <w:unhideWhenUsed/>
    <w:rsid w:val="00A74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855"/>
    <w:rPr>
      <w:rFonts w:ascii="Tahoma" w:hAnsi="Tahoma" w:cs="Tahoma"/>
      <w:sz w:val="16"/>
      <w:szCs w:val="16"/>
    </w:rPr>
  </w:style>
  <w:style w:type="paragraph" w:styleId="Header">
    <w:name w:val="header"/>
    <w:basedOn w:val="Normal"/>
    <w:link w:val="HeaderChar"/>
    <w:uiPriority w:val="99"/>
    <w:semiHidden/>
    <w:unhideWhenUsed/>
    <w:rsid w:val="00A748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4855"/>
  </w:style>
  <w:style w:type="paragraph" w:styleId="Footer">
    <w:name w:val="footer"/>
    <w:basedOn w:val="Normal"/>
    <w:link w:val="FooterChar"/>
    <w:uiPriority w:val="99"/>
    <w:unhideWhenUsed/>
    <w:rsid w:val="00A74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bd.int/abs/text/.%3e(acessed" TargetMode="External"/><Relationship Id="rId1" Type="http://schemas.openxmlformats.org/officeDocument/2006/relationships/hyperlink" Target="http://bch.cbd.int/protoco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B47A-B443-4212-BABF-9DE5B1D7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dc:creator>
  <cp:lastModifiedBy>Treasure</cp:lastModifiedBy>
  <cp:revision>19</cp:revision>
  <dcterms:created xsi:type="dcterms:W3CDTF">2020-04-28T11:40:00Z</dcterms:created>
  <dcterms:modified xsi:type="dcterms:W3CDTF">2020-04-30T09:47:00Z</dcterms:modified>
</cp:coreProperties>
</file>