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Addressee"/>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Ojiaka Amara Jennifer </w:t>
      </w:r>
    </w:p>
    <w:p>
      <w:pPr>
        <w:pStyle w:val="Addressee"/>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16/LAW01/155</w:t>
      </w: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p>
    <w:p>
      <w:pPr>
        <w:pStyle w:val="Body"/>
      </w:pPr>
      <w:r>
        <w:rPr>
          <w:rtl w:val="0"/>
        </w:rPr>
        <w:t xml:space="preserve">Grace Legal Practitioners &amp; Solicitors </w:t>
      </w:r>
    </w:p>
    <w:p>
      <w:pPr>
        <w:pStyle w:val="Body"/>
      </w:pPr>
    </w:p>
    <w:p>
      <w:pPr>
        <w:pStyle w:val="Addressee"/>
        <w:jc w:val="both"/>
      </w:pPr>
      <w:r>
        <w:rPr>
          <w:rtl w:val="0"/>
          <w:lang w:val="en-US"/>
        </w:rPr>
        <w:t>123-456-7890      Inquiries@Glegal.com      1024 Timayu Bello Street, Victoria Island Lagos</w:t>
      </w: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p>
    <w:p>
      <w:pPr>
        <w:pStyle w:val="Addressee"/>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Memorandum of Advice </w:t>
      </w: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To:</w:t>
      </w:r>
      <w:r>
        <w:rPr>
          <w:rFonts w:ascii="Times New Roman" w:hAnsi="Times New Roman"/>
          <w:sz w:val="24"/>
          <w:szCs w:val="24"/>
          <w:rtl w:val="0"/>
          <w:lang w:val="en-US"/>
        </w:rPr>
        <w:t xml:space="preserve"> Chief Isaiah Jacobs, Community Leader, </w:t>
      </w:r>
    </w:p>
    <w:p>
      <w:pPr>
        <w:pStyle w:val="Addressee"/>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Doro Gowon Community</w:t>
      </w:r>
    </w:p>
    <w:p>
      <w:pPr>
        <w:pStyle w:val="Addressee"/>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Addressee"/>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From:</w:t>
      </w:r>
      <w:r>
        <w:rPr>
          <w:rFonts w:ascii="Times New Roman" w:hAnsi="Times New Roman"/>
          <w:sz w:val="24"/>
          <w:szCs w:val="24"/>
          <w:rtl w:val="0"/>
          <w:lang w:val="en-US"/>
        </w:rPr>
        <w:t xml:space="preserve"> Amara Ojiaka (Esq)</w:t>
      </w:r>
    </w:p>
    <w:p>
      <w:pPr>
        <w:pStyle w:val="Addressee"/>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Grace Legal Practitioners &amp; Solicitors       </w:t>
      </w:r>
    </w:p>
    <w:p>
      <w:pPr>
        <w:pStyle w:val="Addressee"/>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Addressee"/>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Subject:</w:t>
      </w:r>
      <w:r>
        <w:rPr>
          <w:rFonts w:ascii="Times New Roman" w:hAnsi="Times New Roman"/>
          <w:sz w:val="24"/>
          <w:szCs w:val="24"/>
          <w:rtl w:val="0"/>
          <w:lang w:val="en-US"/>
        </w:rPr>
        <w:t xml:space="preserve"> Legal Options Available to Doro Gowon Community under International Environmental Law</w:t>
      </w: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Date: </w:t>
      </w:r>
      <w:r>
        <w:rPr>
          <w:rFonts w:ascii="Times New Roman" w:hAnsi="Times New Roman"/>
          <w:sz w:val="24"/>
          <w:szCs w:val="24"/>
          <w:rtl w:val="0"/>
          <w:lang w:val="en-US"/>
        </w:rPr>
        <w:t>May 1st, 2020</w:t>
      </w: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sz w:val="24"/>
          <w:szCs w:val="24"/>
        </w:rPr>
      </w:pPr>
    </w:p>
    <w:p>
      <w:pPr>
        <w:pStyle w:val="Addressee"/>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Addressee"/>
        <w:jc w:val="both"/>
        <w:rPr>
          <w:rFonts w:ascii="Times New Roman" w:cs="Times New Roman" w:hAnsi="Times New Roman" w:eastAsia="Times New Roman"/>
          <w:b w:val="1"/>
          <w:bCs w:val="1"/>
          <w:sz w:val="24"/>
          <w:szCs w:val="24"/>
        </w:rPr>
      </w:pPr>
    </w:p>
    <w:p>
      <w:pPr>
        <w:pStyle w:val="Addressee"/>
        <w:jc w:val="both"/>
        <w:rPr>
          <w:rFonts w:ascii="Times New Roman" w:cs="Times New Roman" w:hAnsi="Times New Roman" w:eastAsia="Times New Roman"/>
          <w:sz w:val="24"/>
          <w:szCs w:val="24"/>
        </w:rPr>
      </w:pPr>
      <w:r>
        <w:rPr>
          <w:rFonts w:ascii="Times New Roman" w:hAnsi="Times New Roman"/>
          <w:sz w:val="24"/>
          <w:szCs w:val="24"/>
          <w:rtl w:val="0"/>
          <w:lang w:val="en-US"/>
        </w:rPr>
        <w:t>Based on the factual scenario presented, the modified grains sent by the Chadian Government to the Doro Gowon Community appears to have caused damaged to the flora and fauna (plants and animals) within the community. As a result of this, it is clear that this matter borders on the</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Conservation of Biodiversity</w:t>
      </w:r>
      <w:r>
        <w:rPr>
          <w:rFonts w:ascii="Times New Roman" w:hAnsi="Times New Roman" w:hint="default"/>
          <w:b w:val="1"/>
          <w:bCs w:val="1"/>
          <w:sz w:val="24"/>
          <w:szCs w:val="24"/>
          <w:rtl w:val="0"/>
          <w:lang w:val="en-US"/>
        </w:rPr>
        <w:t>’</w:t>
      </w:r>
      <w:r>
        <w:rPr>
          <w:rFonts w:ascii="Times New Roman" w:hAnsi="Times New Roman"/>
          <w:sz w:val="24"/>
          <w:szCs w:val="24"/>
          <w:rtl w:val="0"/>
          <w:lang w:val="en-US"/>
        </w:rPr>
        <w:t>.</w:t>
      </w:r>
    </w:p>
    <w:p>
      <w:pPr>
        <w:pStyle w:val="Addressee"/>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The term</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biodiversity</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is derived from two words which are;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bios</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meaning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life</w:t>
      </w:r>
      <w:r>
        <w:rPr>
          <w:rFonts w:ascii="Times New Roman" w:hAnsi="Times New Roman" w:hint="default"/>
          <w:b w:val="1"/>
          <w:bCs w:val="1"/>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diversity</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meaning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various</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Therefore, </w:t>
      </w:r>
      <w:r>
        <w:rPr>
          <w:rFonts w:ascii="Times New Roman" w:hAnsi="Times New Roman"/>
          <w:b w:val="1"/>
          <w:bCs w:val="1"/>
          <w:sz w:val="24"/>
          <w:szCs w:val="24"/>
          <w:rtl w:val="0"/>
          <w:lang w:val="en-US"/>
        </w:rPr>
        <w:t>biodiversity refers to</w:t>
      </w:r>
      <w:r>
        <mc:AlternateContent>
          <mc:Choice Requires="wpg">
            <w:drawing>
              <wp:anchor distT="152400" distB="152400" distL="152400" distR="152400" simplePos="0" relativeHeight="251659264" behindDoc="0" locked="0" layoutInCell="1" allowOverlap="1">
                <wp:simplePos x="0" y="0"/>
                <wp:positionH relativeFrom="page">
                  <wp:posOffset>762000</wp:posOffset>
                </wp:positionH>
                <wp:positionV relativeFrom="page">
                  <wp:posOffset>1308100</wp:posOffset>
                </wp:positionV>
                <wp:extent cx="444501" cy="1397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444501" cy="139700"/>
                          <a:chOff x="0" y="0"/>
                          <a:chExt cx="444500" cy="139700"/>
                        </a:xfrm>
                      </wpg:grpSpPr>
                      <wps:wsp>
                        <wps:cNvPr id="1073741825" name="Shape 1073741825"/>
                        <wps:cNvSpPr/>
                        <wps:spPr>
                          <a:xfrm>
                            <a:off x="304800" y="0"/>
                            <a:ext cx="139701" cy="139700"/>
                          </a:xfrm>
                          <a:prstGeom prst="rect">
                            <a:avLst/>
                          </a:prstGeom>
                          <a:solidFill>
                            <a:srgbClr val="00A3DA"/>
                          </a:solidFill>
                          <a:ln w="12700" cap="flat">
                            <a:noFill/>
                            <a:miter lim="400000"/>
                          </a:ln>
                          <a:effectLst/>
                        </wps:spPr>
                        <wps:bodyPr/>
                      </wps:wsp>
                      <wps:wsp>
                        <wps:cNvPr id="1073741826" name="Shape 1073741826"/>
                        <wps:cNvSpPr/>
                        <wps:spPr>
                          <a:xfrm>
                            <a:off x="152400" y="0"/>
                            <a:ext cx="139700" cy="139700"/>
                          </a:xfrm>
                          <a:prstGeom prst="rect">
                            <a:avLst/>
                          </a:prstGeom>
                          <a:solidFill>
                            <a:srgbClr val="FF4013"/>
                          </a:solidFill>
                          <a:ln w="12700" cap="flat">
                            <a:noFill/>
                            <a:miter lim="400000"/>
                          </a:ln>
                          <a:effectLst/>
                        </wps:spPr>
                        <wps:bodyPr/>
                      </wps:wsp>
                      <wps:wsp>
                        <wps:cNvPr id="1073741827" name="Shape 1073741827"/>
                        <wps:cNvSpPr/>
                        <wps:spPr>
                          <a:xfrm>
                            <a:off x="-1" y="0"/>
                            <a:ext cx="139701" cy="139700"/>
                          </a:xfrm>
                          <a:prstGeom prst="rect">
                            <a:avLst/>
                          </a:prstGeom>
                          <a:solidFill>
                            <a:srgbClr val="FEC700"/>
                          </a:solidFill>
                          <a:ln w="12700" cap="flat">
                            <a:noFill/>
                            <a:miter lim="400000"/>
                          </a:ln>
                          <a:effectLst/>
                        </wps:spPr>
                        <wps:bodyPr/>
                      </wps:wsp>
                    </wpg:wgp>
                  </a:graphicData>
                </a:graphic>
              </wp:anchor>
            </w:drawing>
          </mc:Choice>
          <mc:Fallback>
            <w:pict>
              <v:group id="_x0000_s1026" style="visibility:visible;position:absolute;margin-left:60.0pt;margin-top:103.0pt;width:35.0pt;height:11.0pt;z-index:251659264;mso-position-horizontal:absolute;mso-position-horizontal-relative:page;mso-position-vertical:absolute;mso-position-vertical-relative:page;mso-wrap-distance-left:12.0pt;mso-wrap-distance-top:12.0pt;mso-wrap-distance-right:12.0pt;mso-wrap-distance-bottom:12.0pt;" coordorigin="0,0" coordsize="444500,139700">
                <w10:wrap type="through" side="bothSides" anchorx="page" anchory="page"/>
                <v:rect id="_x0000_s1027" style="position:absolute;left:304800;top:0;width:139700;height:139700;">
                  <v:fill color="#00A3DA"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52400;top:0;width:139700;height:139700;">
                  <v:fill color="#FF4013"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139700;height:139700;">
                  <v:fill color="#FEC7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Times New Roman" w:hAnsi="Times New Roman"/>
          <w:b w:val="1"/>
          <w:bCs w:val="1"/>
          <w:sz w:val="24"/>
          <w:szCs w:val="24"/>
          <w:rtl w:val="0"/>
          <w:lang w:val="en-US"/>
        </w:rPr>
        <w:t xml:space="preserve"> all plants and animals as well as all biological forms that exist on earth.</w:t>
      </w:r>
      <w:r>
        <w:rPr>
          <w:rFonts w:ascii="Times New Roman" w:cs="Times New Roman" w:hAnsi="Times New Roman" w:eastAsia="Times New Roman"/>
          <w:b w:val="1"/>
          <w:bCs w:val="1"/>
          <w:sz w:val="24"/>
          <w:szCs w:val="24"/>
          <w:vertAlign w:val="superscript"/>
        </w:rPr>
        <w:footnoteReference w:id="1"/>
      </w:r>
      <w:r>
        <w:rPr>
          <w:rFonts w:ascii="Times New Roman" w:hAnsi="Times New Roman"/>
          <w:sz w:val="24"/>
          <w:szCs w:val="24"/>
          <w:rtl w:val="0"/>
          <w:lang w:val="en-US"/>
        </w:rPr>
        <w:t xml:space="preserve">  These plants and animals contribute to the balance and adequate functioning of the ecosystem and serve as a vital source of food and livelihood for man. For example; the people of Doro Gowon relied on farming as a means of income. Hence, it must be properly conserved. Conservation in this sense connotes protection, preservation and careful management. </w:t>
      </w: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Following the importance of biodiversity, the international community has developed a legal framework for its conservation. This legal framework is referred to as the </w:t>
      </w:r>
      <w:r>
        <w:rPr>
          <w:rFonts w:ascii="Times New Roman" w:hAnsi="Times New Roman"/>
          <w:b w:val="1"/>
          <w:bCs w:val="1"/>
          <w:sz w:val="24"/>
          <w:szCs w:val="24"/>
          <w:rtl w:val="0"/>
          <w:lang w:val="en-US"/>
        </w:rPr>
        <w:t xml:space="preserve">Convention on Biological Diversity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CBD</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convention is designed to protect and preserve biodiversity. It has 3 core objectives as set out in </w:t>
      </w:r>
      <w:r>
        <w:rPr>
          <w:rFonts w:ascii="Times New Roman" w:hAnsi="Times New Roman"/>
          <w:b w:val="1"/>
          <w:bCs w:val="1"/>
          <w:sz w:val="24"/>
          <w:szCs w:val="24"/>
          <w:rtl w:val="0"/>
          <w:lang w:val="en-US"/>
        </w:rPr>
        <w:t>Article 1</w:t>
      </w:r>
      <w:r>
        <w:rPr>
          <w:rFonts w:ascii="Times New Roman" w:hAnsi="Times New Roman"/>
          <w:sz w:val="24"/>
          <w:szCs w:val="24"/>
          <w:rtl w:val="0"/>
          <w:lang w:val="en-US"/>
        </w:rPr>
        <w:t xml:space="preserve">. They are as follows: </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Conservation of biological diversity.</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Sustainable use of the components of biodiversity.</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fair and equitable sharing of benefits resulting from the utilisation of genetic resources including; access to genetic resources, appropriate transfer of relevant technologies and funding.</w:t>
      </w:r>
    </w:p>
    <w:p>
      <w:pPr>
        <w:pStyle w:val="Body A"/>
        <w:spacing w:after="200"/>
        <w:jc w:val="both"/>
        <w:rPr>
          <w:rFonts w:ascii="Times New Roman" w:cs="Times New Roman" w:hAnsi="Times New Roman" w:eastAsia="Times New Roman"/>
          <w:b w:val="1"/>
          <w:bCs w:val="1"/>
          <w:i w:val="1"/>
          <w:iCs w:val="1"/>
          <w:sz w:val="24"/>
          <w:szCs w:val="24"/>
        </w:rPr>
      </w:pPr>
      <w:r>
        <w:rPr>
          <w:rFonts w:ascii="Times New Roman" w:hAnsi="Times New Roman"/>
          <w:sz w:val="24"/>
          <w:szCs w:val="24"/>
          <w:rtl w:val="0"/>
          <w:lang w:val="en-US"/>
        </w:rPr>
        <w:t xml:space="preserve">The convention has two protocols or supplements known as the </w:t>
      </w:r>
      <w:r>
        <w:rPr>
          <w:rFonts w:ascii="Times New Roman" w:hAnsi="Times New Roman"/>
          <w:b w:val="1"/>
          <w:bCs w:val="1"/>
          <w:sz w:val="24"/>
          <w:szCs w:val="24"/>
          <w:rtl w:val="0"/>
          <w:lang w:val="en-US"/>
        </w:rPr>
        <w:t>Cartagena Protocol on Biosafety to the Convention on Biological Diversity</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 Cartagena Protocol</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the </w:t>
      </w:r>
      <w:r>
        <w:rPr>
          <w:rFonts w:ascii="Times New Roman" w:hAnsi="Times New Roman"/>
          <w:b w:val="1"/>
          <w:bCs w:val="1"/>
          <w:sz w:val="24"/>
          <w:szCs w:val="24"/>
          <w:rtl w:val="0"/>
          <w:lang w:val="en-US"/>
        </w:rPr>
        <w:t>Nagoya Protocol on Access and Benefit Sharing to the convention on Biological Diversity</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 Nagoya Protocol</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 Cartagena Protocol is </w:t>
      </w:r>
      <w:r>
        <w:rPr>
          <w:rFonts w:ascii="Times New Roman" w:hAnsi="Times New Roman"/>
          <w:b w:val="1"/>
          <w:bCs w:val="1"/>
          <w:i w:val="1"/>
          <w:iCs w:val="1"/>
          <w:sz w:val="24"/>
          <w:szCs w:val="24"/>
          <w:rtl w:val="0"/>
          <w:lang w:val="en-US"/>
        </w:rPr>
        <w:t xml:space="preserve">concerned with the handling, transport and use of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living modified organism</w:t>
      </w:r>
      <w:r>
        <w:rPr>
          <w:rFonts w:ascii="Times New Roman" w:hAnsi="Times New Roman" w:hint="default"/>
          <w:b w:val="1"/>
          <w:bCs w:val="1"/>
          <w:i w:val="1"/>
          <w:iCs w:val="1"/>
          <w:sz w:val="24"/>
          <w:szCs w:val="24"/>
          <w:rtl w:val="0"/>
          <w:lang w:val="en-US"/>
        </w:rPr>
        <w:t xml:space="preserve">’ </w:t>
      </w:r>
      <w:r>
        <w:rPr>
          <w:rFonts w:ascii="Times New Roman" w:hAnsi="Times New Roman"/>
          <w:b w:val="1"/>
          <w:bCs w:val="1"/>
          <w:i w:val="1"/>
          <w:iCs w:val="1"/>
          <w:sz w:val="24"/>
          <w:szCs w:val="24"/>
          <w:rtl w:val="0"/>
          <w:lang w:val="en-US"/>
        </w:rPr>
        <w:t>resulting from modern technology that may have an adverse effect on biological diversity; taking into account risks to human health</w:t>
      </w:r>
      <w:r>
        <w:rPr>
          <w:rFonts w:ascii="Times New Roman" w:hAnsi="Times New Roman"/>
          <w:sz w:val="24"/>
          <w:szCs w:val="24"/>
          <w:rtl w:val="0"/>
          <w:lang w:val="en-US"/>
        </w:rPr>
        <w:t xml:space="preserve">. The Nagoya Protocol, on the other hand, is concerned with </w:t>
      </w:r>
      <w:r>
        <w:rPr>
          <w:rFonts w:ascii="Times New Roman" w:hAnsi="Times New Roman"/>
          <w:b w:val="1"/>
          <w:bCs w:val="1"/>
          <w:i w:val="1"/>
          <w:iCs w:val="1"/>
          <w:sz w:val="24"/>
          <w:szCs w:val="24"/>
          <w:rtl w:val="0"/>
          <w:lang w:val="en-US"/>
        </w:rPr>
        <w:t xml:space="preserve">the fair and equitable use of genetic resources as well as to ensure the transfer of relevant technology to contribute to the conservation of biological diversity and the sustainable use of its components. </w:t>
      </w:r>
    </w:p>
    <w:p>
      <w:pPr>
        <w:pStyle w:val="Body A"/>
        <w:spacing w:after="200"/>
        <w:jc w:val="both"/>
        <w:rPr>
          <w:rFonts w:ascii="Times New Roman" w:cs="Times New Roman" w:hAnsi="Times New Roman" w:eastAsia="Times New Roman"/>
          <w:b w:val="1"/>
          <w:bCs w:val="1"/>
          <w:i w:val="1"/>
          <w:iCs w:val="1"/>
          <w:sz w:val="24"/>
          <w:szCs w:val="24"/>
        </w:rPr>
      </w:pP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However, the issues imminent in the facts presented may be resolved under the provisions of the Cartagena Protocol. </w:t>
      </w: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Issues for Determination</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aforementioned facts present five (5) legal issues for determination. </w:t>
      </w:r>
    </w:p>
    <w:p>
      <w:pPr>
        <w:pStyle w:val="Body A"/>
        <w:numPr>
          <w:ilvl w:val="0"/>
          <w:numId w:val="3"/>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Whether the modified grains (MXZ19) exported to the Doro Gowon Community may be categorised as a living modified organism. </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Whether there are applicable laws under International Law that address the transportation of living modified products/organisms. </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Whether there is any procedure prescribed by applicable international laws for the transportation of such modified grains. </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Whether the Chadian Government can rely on their sovereignty to escape liability for damage caused by their geothermal project to the Doro Gowon Community.</w:t>
      </w:r>
    </w:p>
    <w:p>
      <w:pPr>
        <w:pStyle w:val="Body A"/>
        <w:numPr>
          <w:ilvl w:val="0"/>
          <w:numId w:val="2"/>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remedies are available to the Doro Gowon Community for the damage suffered. </w:t>
      </w:r>
    </w:p>
    <w:p>
      <w:pPr>
        <w:pStyle w:val="Body A"/>
        <w:spacing w:after="200"/>
        <w:jc w:val="both"/>
        <w:rPr>
          <w:rFonts w:ascii="Times New Roman" w:cs="Times New Roman" w:hAnsi="Times New Roman" w:eastAsia="Times New Roman"/>
          <w:b w:val="1"/>
          <w:bCs w:val="1"/>
          <w:sz w:val="24"/>
          <w:szCs w:val="24"/>
        </w:rPr>
      </w:pPr>
    </w:p>
    <w:p>
      <w:pPr>
        <w:pStyle w:val="Body A"/>
        <w:spacing w:after="200"/>
        <w:jc w:val="both"/>
        <w:rPr>
          <w:rFonts w:ascii="Times New Roman" w:cs="Times New Roman" w:hAnsi="Times New Roman" w:eastAsia="Times New Roman"/>
          <w:b w:val="1"/>
          <w:bCs w:val="1"/>
          <w:sz w:val="24"/>
          <w:szCs w:val="24"/>
        </w:rPr>
      </w:pP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Resolution of issues/ Discussion</w:t>
      </w: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Whether the modified grains (MXZ19) exported to the Doro Gowon Community is a living modified organism.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Yes. MXZ19 is a living modified organism. </w:t>
      </w:r>
    </w:p>
    <w:p>
      <w:pPr>
        <w:pStyle w:val="Body A"/>
        <w:spacing w:after="200"/>
        <w:jc w:val="both"/>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Article 3 </w:t>
      </w:r>
      <w:r>
        <w:rPr>
          <w:rFonts w:ascii="Times New Roman" w:hAnsi="Times New Roman"/>
          <w:sz w:val="24"/>
          <w:szCs w:val="24"/>
          <w:rtl w:val="0"/>
          <w:lang w:val="en-US"/>
        </w:rPr>
        <w:t>of the Cartagena Protocol defines a living modified organism as</w:t>
      </w:r>
      <w:r>
        <w:rPr>
          <w:rFonts w:ascii="Times New Roman" w:hAnsi="Times New Roman"/>
          <w:i w:val="1"/>
          <w:iCs w:val="1"/>
          <w:sz w:val="24"/>
          <w:szCs w:val="24"/>
          <w:rtl w:val="0"/>
          <w:lang w:val="en-US"/>
        </w:rPr>
        <w:t xml:space="preserve"> any living organism that possesses a novel composition of genetic model material obtained through the use of modern technology.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From the facts thereof, an analysis carried out by the ABUAD Clean and Green Club revealed that due to the </w:t>
      </w:r>
      <w:r>
        <w:rPr>
          <w:rFonts w:ascii="Times New Roman" w:hAnsi="Times New Roman" w:hint="default"/>
          <w:sz w:val="24"/>
          <w:szCs w:val="24"/>
          <w:rtl w:val="0"/>
          <w:lang w:val="en-US"/>
        </w:rPr>
        <w:t>‘</w:t>
      </w:r>
      <w:r>
        <w:rPr>
          <w:rFonts w:ascii="Times New Roman" w:hAnsi="Times New Roman"/>
          <w:sz w:val="24"/>
          <w:szCs w:val="24"/>
          <w:rtl w:val="0"/>
          <w:lang w:val="en-US"/>
        </w:rPr>
        <w:t>modifications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MXZ19 the soil became virulent, thus resulting in the death of the crops as well as driving away beneficial insects.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Therefore, MXZ19 is a living modified organism and as such the protocol stipulates a procedure for its safe transfer without causing harm to the environment. </w:t>
      </w: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Whether there are applicable laws under International Law that address the transportation of living modified products/organisms.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issue is resolved in the affirmative.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International Law provided for the </w:t>
      </w:r>
      <w:r>
        <w:rPr>
          <w:rFonts w:ascii="Times New Roman" w:hAnsi="Times New Roman"/>
          <w:b w:val="1"/>
          <w:bCs w:val="1"/>
          <w:sz w:val="24"/>
          <w:szCs w:val="24"/>
          <w:rtl w:val="0"/>
          <w:lang w:val="en-US"/>
        </w:rPr>
        <w:t>Convention on Biodiversity</w:t>
      </w:r>
      <w:r>
        <w:rPr>
          <w:rFonts w:ascii="Times New Roman" w:hAnsi="Times New Roman"/>
          <w:sz w:val="24"/>
          <w:szCs w:val="24"/>
          <w:rtl w:val="0"/>
          <w:lang w:val="en-US"/>
        </w:rPr>
        <w:t xml:space="preserve"> that is set out to conserve biodiversity, ensure the sustainable use of biodiversity as well as promote the fair and equitable sharing of genetic resources.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convention has two (2) protocols. The Cartagena Protocol and the Nagoya Protocol. The Cartagena Protocol is concerned with the safe handling, transport and use of living modified organism resulting from modern technology that may have adverse effects on biological diversity; taking into consideration human health specifically focusing on transboundary movement while the Nagoya Protocol is concerned with the fair and equitable sharing of benefits resulting from the utilisation of genetic resources. </w:t>
      </w:r>
    </w:p>
    <w:p>
      <w:pPr>
        <w:pStyle w:val="Body A"/>
        <w:spacing w:after="200"/>
        <w:jc w:val="both"/>
        <w:rPr>
          <w:rFonts w:ascii="Times New Roman" w:cs="Times New Roman" w:hAnsi="Times New Roman" w:eastAsia="Times New Roman"/>
          <w:b w:val="1"/>
          <w:bCs w:val="1"/>
          <w:i w:val="1"/>
          <w:iCs w:val="1"/>
          <w:sz w:val="24"/>
          <w:szCs w:val="24"/>
        </w:rPr>
      </w:pPr>
      <w:r>
        <w:rPr>
          <w:rFonts w:ascii="Times New Roman" w:hAnsi="Times New Roman"/>
          <w:sz w:val="24"/>
          <w:szCs w:val="24"/>
          <w:rtl w:val="0"/>
          <w:lang w:val="en-US"/>
        </w:rPr>
        <w:t xml:space="preserve">However, the facts are centred on the Cartagena Protocol. The </w:t>
      </w:r>
      <w:r>
        <w:rPr>
          <w:rFonts w:ascii="Times New Roman" w:hAnsi="Times New Roman"/>
          <w:b w:val="1"/>
          <w:bCs w:val="1"/>
          <w:sz w:val="24"/>
          <w:szCs w:val="24"/>
          <w:rtl w:val="0"/>
          <w:lang w:val="en-US"/>
        </w:rPr>
        <w:t>Preamble,</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 xml:space="preserve">Article 1 and Article 11(8) </w:t>
      </w:r>
      <w:r>
        <w:rPr>
          <w:rFonts w:ascii="Times New Roman" w:hAnsi="Times New Roman"/>
          <w:sz w:val="24"/>
          <w:szCs w:val="24"/>
          <w:rtl w:val="0"/>
          <w:lang w:val="en-US"/>
        </w:rPr>
        <w:t xml:space="preserve">of the said protocol states that all states must adopt the precautionary principle postulated in </w:t>
      </w:r>
      <w:r>
        <w:rPr>
          <w:rFonts w:ascii="Times New Roman" w:hAnsi="Times New Roman"/>
          <w:b w:val="1"/>
          <w:bCs w:val="1"/>
          <w:sz w:val="24"/>
          <w:szCs w:val="24"/>
          <w:rtl w:val="0"/>
          <w:lang w:val="en-US"/>
        </w:rPr>
        <w:t>Article 15</w:t>
      </w:r>
      <w:r>
        <w:rPr>
          <w:rFonts w:ascii="Times New Roman" w:hAnsi="Times New Roman"/>
          <w:sz w:val="24"/>
          <w:szCs w:val="24"/>
          <w:rtl w:val="0"/>
          <w:lang w:val="en-US"/>
        </w:rPr>
        <w:t xml:space="preserve"> of the </w:t>
      </w:r>
      <w:r>
        <w:rPr>
          <w:rFonts w:ascii="Times New Roman" w:hAnsi="Times New Roman"/>
          <w:b w:val="1"/>
          <w:bCs w:val="1"/>
          <w:sz w:val="24"/>
          <w:szCs w:val="24"/>
          <w:rtl w:val="0"/>
          <w:lang w:val="en-US"/>
        </w:rPr>
        <w:t xml:space="preserve">Rio Declaration on Environment and Development </w:t>
      </w:r>
      <w:r>
        <w:rPr>
          <w:rFonts w:ascii="Times New Roman" w:hAnsi="Times New Roman"/>
          <w:sz w:val="24"/>
          <w:szCs w:val="24"/>
          <w:rtl w:val="0"/>
          <w:lang w:val="en-US"/>
        </w:rPr>
        <w:t xml:space="preserve">which states that to protect the environment, the precautionary approach should be applied by states according to their capabilities. The principle suggests that </w:t>
      </w:r>
      <w:r>
        <w:rPr>
          <w:rFonts w:ascii="Times New Roman" w:hAnsi="Times New Roman"/>
          <w:b w:val="1"/>
          <w:bCs w:val="1"/>
          <w:i w:val="1"/>
          <w:iCs w:val="1"/>
          <w:sz w:val="24"/>
          <w:szCs w:val="24"/>
          <w:rtl w:val="0"/>
          <w:lang w:val="en-US"/>
        </w:rPr>
        <w:t xml:space="preserve">scientific certainty regarding the extent of the adverse effect of a living modified organism on conservation or sustainable use of biological diversity, also taking into account risks to human health, shall not prevent a state from taking preventive measures. </w:t>
      </w:r>
    </w:p>
    <w:p>
      <w:pPr>
        <w:pStyle w:val="Body A"/>
        <w:spacing w:after="200"/>
        <w:jc w:val="both"/>
        <w:rPr>
          <w:rFonts w:ascii="Times New Roman" w:cs="Times New Roman" w:hAnsi="Times New Roman" w:eastAsia="Times New Roman"/>
          <w:b w:val="1"/>
          <w:bCs w:val="1"/>
          <w:i w:val="1"/>
          <w:iCs w:val="1"/>
          <w:sz w:val="24"/>
          <w:szCs w:val="24"/>
        </w:rPr>
      </w:pPr>
    </w:p>
    <w:p>
      <w:pPr>
        <w:pStyle w:val="Body A"/>
        <w:spacing w:after="200"/>
        <w:jc w:val="both"/>
        <w:rPr>
          <w:rFonts w:ascii="Times New Roman" w:cs="Times New Roman" w:hAnsi="Times New Roman" w:eastAsia="Times New Roman"/>
          <w:b w:val="1"/>
          <w:bCs w:val="1"/>
          <w:i w:val="1"/>
          <w:iCs w:val="1"/>
          <w:sz w:val="24"/>
          <w:szCs w:val="24"/>
        </w:rPr>
      </w:pPr>
      <w:r>
        <w:rPr>
          <w:rFonts w:ascii="Times New Roman" w:hAnsi="Times New Roman"/>
          <w:sz w:val="24"/>
          <w:szCs w:val="24"/>
          <w:rtl w:val="0"/>
          <w:lang w:val="en-US"/>
        </w:rPr>
        <w:t xml:space="preserve">The scope of the protocol according to </w:t>
      </w:r>
      <w:r>
        <w:rPr>
          <w:rFonts w:ascii="Times New Roman" w:hAnsi="Times New Roman"/>
          <w:b w:val="1"/>
          <w:bCs w:val="1"/>
          <w:sz w:val="24"/>
          <w:szCs w:val="24"/>
          <w:rtl w:val="0"/>
          <w:lang w:val="en-US"/>
        </w:rPr>
        <w:t xml:space="preserve">Article 4 </w:t>
      </w:r>
      <w:r>
        <w:rPr>
          <w:rFonts w:ascii="Times New Roman" w:hAnsi="Times New Roman"/>
          <w:sz w:val="24"/>
          <w:szCs w:val="24"/>
          <w:rtl w:val="0"/>
          <w:lang w:val="en-US"/>
        </w:rPr>
        <w:t xml:space="preserve">covers </w:t>
      </w:r>
      <w:r>
        <w:rPr>
          <w:rFonts w:ascii="Times New Roman" w:hAnsi="Times New Roman"/>
          <w:b w:val="1"/>
          <w:bCs w:val="1"/>
          <w:i w:val="1"/>
          <w:iCs w:val="1"/>
          <w:sz w:val="24"/>
          <w:szCs w:val="24"/>
          <w:rtl w:val="0"/>
          <w:lang w:val="en-US"/>
        </w:rPr>
        <w:t>transboundary movement, transit, handling and use of all living modified organism that may have an adverse effect on the conservation and sustainable use of biodiversity.</w:t>
      </w:r>
    </w:p>
    <w:p>
      <w:pPr>
        <w:pStyle w:val="Body A"/>
        <w:spacing w:after="200"/>
        <w:jc w:val="both"/>
        <w:rPr>
          <w:rFonts w:ascii="Times New Roman" w:cs="Times New Roman" w:hAnsi="Times New Roman" w:eastAsia="Times New Roman"/>
          <w:b w:val="1"/>
          <w:bCs w:val="1"/>
          <w:i w:val="1"/>
          <w:iCs w:val="1"/>
          <w:sz w:val="24"/>
          <w:szCs w:val="24"/>
        </w:rPr>
      </w:pP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In line with the above, it is evident that the Cartagena Protocol is the applicable law as the matter between the Chadian and Nigerian government deals with the transboundary movement, transit, handling of the MXZ19 (a living modified organism) that had adverse effects on the conservation and sustainable use of biodiversity within the Doro Gowon Community.</w:t>
      </w:r>
    </w:p>
    <w:p>
      <w:pPr>
        <w:pStyle w:val="Body A"/>
        <w:spacing w:after="200"/>
        <w:jc w:val="both"/>
        <w:rPr>
          <w:rFonts w:ascii="Times New Roman" w:cs="Times New Roman" w:hAnsi="Times New Roman" w:eastAsia="Times New Roman"/>
          <w:b w:val="1"/>
          <w:bCs w:val="1"/>
          <w:i w:val="1"/>
          <w:iCs w:val="1"/>
          <w:sz w:val="24"/>
          <w:szCs w:val="24"/>
        </w:rPr>
      </w:pP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Whether there is any procedure prescribed by international law for the transportation of such modified grains. </w:t>
      </w:r>
    </w:p>
    <w:p>
      <w:pPr>
        <w:pStyle w:val="Body A"/>
        <w:spacing w:after="200"/>
        <w:jc w:val="both"/>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Yes. The Cartagena Protocol employs the </w:t>
      </w:r>
      <w:r>
        <w:rPr>
          <w:rFonts w:ascii="Times New Roman" w:hAnsi="Times New Roman"/>
          <w:b w:val="1"/>
          <w:bCs w:val="1"/>
          <w:sz w:val="24"/>
          <w:szCs w:val="24"/>
          <w:rtl w:val="0"/>
          <w:lang w:val="en-US"/>
        </w:rPr>
        <w:t>Advanced Informed Agreement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AIA</w:t>
      </w:r>
      <w:r>
        <w:rPr>
          <w:rFonts w:ascii="Times New Roman" w:hAnsi="Times New Roman" w:hint="default"/>
          <w:sz w:val="24"/>
          <w:szCs w:val="24"/>
          <w:rtl w:val="0"/>
          <w:lang w:val="en-US"/>
        </w:rPr>
        <w:t>”</w:t>
      </w:r>
      <w:r>
        <w:rPr>
          <w:rFonts w:ascii="Times New Roman" w:hAnsi="Times New Roman"/>
          <w:sz w:val="24"/>
          <w:szCs w:val="24"/>
          <w:rtl w:val="0"/>
          <w:lang w:val="en-US"/>
        </w:rPr>
        <w:t xml:space="preserve">) as set out by </w:t>
      </w:r>
      <w:r>
        <w:rPr>
          <w:rFonts w:ascii="Times New Roman" w:hAnsi="Times New Roman"/>
          <w:b w:val="1"/>
          <w:bCs w:val="1"/>
          <w:sz w:val="24"/>
          <w:szCs w:val="24"/>
          <w:rtl w:val="0"/>
          <w:lang w:val="en-US"/>
        </w:rPr>
        <w:t xml:space="preserve">Article 7. </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The purpose or essence of the procedure is to ensure that before a living modified organism is imported into a country for the first time for international introduction into the environment, the party of import;</w:t>
      </w:r>
    </w:p>
    <w:p>
      <w:pPr>
        <w:pStyle w:val="Body A"/>
        <w:numPr>
          <w:ilvl w:val="0"/>
          <w:numId w:val="5"/>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is notified about the proposed import. </w:t>
      </w:r>
    </w:p>
    <w:p>
      <w:pPr>
        <w:pStyle w:val="Body A"/>
        <w:numPr>
          <w:ilvl w:val="0"/>
          <w:numId w:val="5"/>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receives full information about the living modified organism and its intended use.</w:t>
      </w:r>
    </w:p>
    <w:p>
      <w:pPr>
        <w:pStyle w:val="Body A"/>
        <w:numPr>
          <w:ilvl w:val="0"/>
          <w:numId w:val="5"/>
        </w:numPr>
        <w:bidi w:val="0"/>
        <w:spacing w:after="200"/>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has an opportunity to assess the risks associated with the living modified organism and decide whether or not to import it. </w:t>
      </w:r>
    </w:p>
    <w:p>
      <w:pPr>
        <w:pStyle w:val="Body A"/>
        <w:spacing w:after="200"/>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Article 8</w:t>
      </w:r>
      <w:r>
        <w:rPr>
          <w:rFonts w:ascii="Times New Roman" w:hAnsi="Times New Roman"/>
          <w:sz w:val="24"/>
          <w:szCs w:val="24"/>
          <w:rtl w:val="0"/>
          <w:lang w:val="en-US"/>
        </w:rPr>
        <w:t xml:space="preserve"> states that the party of export must notify the party of import in writing furnishing the party of import with necessary information on the nature and effect of the living modified organism. Upon receipt of notification, the Party of import shall acknowledge receipt of notification within ninety days (90 days). </w:t>
      </w: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The acknowledgement shall state:</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(a) The date of receipt of the notification;</w:t>
      </w:r>
    </w:p>
    <w:p>
      <w:pPr>
        <w:pStyle w:val="Body A"/>
        <w:spacing w:after="200"/>
        <w:jc w:val="both"/>
        <w:rPr>
          <w:rFonts w:ascii="Times New Roman" w:cs="Times New Roman" w:hAnsi="Times New Roman" w:eastAsia="Times New Roman"/>
          <w:sz w:val="24"/>
          <w:szCs w:val="24"/>
        </w:rPr>
      </w:pPr>
      <w:r>
        <w:rPr>
          <w:rFonts w:ascii="Times New Roman" w:hAnsi="Times New Roman"/>
          <w:sz w:val="24"/>
          <w:szCs w:val="24"/>
          <w:rtl w:val="0"/>
          <w:lang w:val="en-US"/>
        </w:rPr>
        <w:t>(b) Whether the notification, prima facie, contains the information referred to in Article 8;</w:t>
      </w:r>
    </w:p>
    <w:p>
      <w:pPr>
        <w:pStyle w:val="Body A"/>
        <w:spacing w:after="200"/>
        <w:jc w:val="both"/>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(c) Whether to proceed according to the domestic regulatory framework of the Party of import or according to the procedure specified in </w:t>
      </w:r>
      <w:r>
        <w:rPr>
          <w:rFonts w:ascii="Times New Roman" w:hAnsi="Times New Roman"/>
          <w:b w:val="1"/>
          <w:bCs w:val="1"/>
          <w:sz w:val="24"/>
          <w:szCs w:val="24"/>
          <w:rtl w:val="0"/>
          <w:lang w:val="en-US"/>
        </w:rPr>
        <w:t>Article 10</w:t>
      </w:r>
      <w:r>
        <w:rPr>
          <w:rFonts w:ascii="Times New Roman" w:hAnsi="Times New Roman"/>
          <w:sz w:val="24"/>
          <w:szCs w:val="24"/>
          <w:rtl w:val="0"/>
          <w:lang w:val="en-US"/>
        </w:rPr>
        <w:t xml:space="preserve">. </w:t>
      </w:r>
      <w:r>
        <w:rPr>
          <w:rFonts w:ascii="Times New Roman" w:cs="Times New Roman" w:hAnsi="Times New Roman" w:eastAsia="Times New Roman"/>
          <w:sz w:val="24"/>
          <w:szCs w:val="24"/>
          <w:vertAlign w:val="superscript"/>
        </w:rPr>
        <w:footnoteReference w:id="2"/>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decision procedure encapsulated in </w:t>
      </w:r>
      <w:r>
        <w:rPr>
          <w:rStyle w:val="None"/>
          <w:rFonts w:ascii="Times New Roman" w:hAnsi="Times New Roman"/>
          <w:b w:val="1"/>
          <w:bCs w:val="1"/>
          <w:sz w:val="24"/>
          <w:szCs w:val="24"/>
          <w:rtl w:val="0"/>
          <w:lang w:val="en-US"/>
        </w:rPr>
        <w:t>Article 10 (3)</w:t>
      </w:r>
      <w:r>
        <w:rPr>
          <w:rStyle w:val="None"/>
          <w:rFonts w:ascii="Times New Roman" w:hAnsi="Times New Roman"/>
          <w:sz w:val="24"/>
          <w:szCs w:val="24"/>
          <w:rtl w:val="0"/>
          <w:lang w:val="en-US"/>
        </w:rPr>
        <w:t xml:space="preserve"> states that within two hundred and seventy days (270 days) of the receipt of the notification, the country of import must communicate its decision in writing to the notifier and Biosafety Clearing House</w:t>
      </w:r>
      <w:r>
        <w:rPr>
          <w:rStyle w:val="None"/>
          <w:rFonts w:ascii="Times New Roman" w:cs="Times New Roman" w:hAnsi="Times New Roman" w:eastAsia="Times New Roman"/>
          <w:sz w:val="24"/>
          <w:szCs w:val="24"/>
          <w:vertAlign w:val="superscript"/>
        </w:rPr>
        <w:footnoteReference w:id="3"/>
      </w:r>
      <w:r>
        <w:rPr>
          <w:rStyle w:val="None"/>
          <w:rFonts w:ascii="Times New Roman" w:hAnsi="Times New Roman"/>
          <w:sz w:val="24"/>
          <w:szCs w:val="24"/>
          <w:rtl w:val="0"/>
          <w:lang w:val="en-US"/>
        </w:rPr>
        <w:t>;</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 Approving the import, with or without conditions, including how the decision will apply to subsequent imports of the same living modified organism;</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 Prohibiting the import;</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 Requesting additional relevant information following its domestic regulatory framework or Annex I within the stipulated time</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It is pertinent to note that according to </w:t>
      </w:r>
      <w:r>
        <w:rPr>
          <w:rStyle w:val="None"/>
          <w:rFonts w:ascii="Times New Roman" w:hAnsi="Times New Roman"/>
          <w:b w:val="1"/>
          <w:bCs w:val="1"/>
          <w:sz w:val="24"/>
          <w:szCs w:val="24"/>
          <w:rtl w:val="0"/>
          <w:lang w:val="en-US"/>
        </w:rPr>
        <w:t>Article 8 (5)</w:t>
      </w:r>
      <w:r>
        <w:rPr>
          <w:rStyle w:val="None"/>
          <w:rFonts w:ascii="Times New Roman" w:hAnsi="Times New Roman"/>
          <w:sz w:val="24"/>
          <w:szCs w:val="24"/>
          <w:rtl w:val="0"/>
          <w:lang w:val="en-US"/>
        </w:rPr>
        <w:t xml:space="preserve"> where are the party of import has failed to communicate its decision within two hundred and seventy days (270 days) this does not imply consent by the country of import. </w:t>
      </w:r>
    </w:p>
    <w:p>
      <w:pPr>
        <w:pStyle w:val="Body A"/>
        <w:spacing w:after="200"/>
        <w:jc w:val="both"/>
        <w:rPr>
          <w:rStyle w:val="None"/>
          <w:rFonts w:ascii="Times New Roman" w:cs="Times New Roman" w:hAnsi="Times New Roman" w:eastAsia="Times New Roman"/>
          <w:sz w:val="24"/>
          <w:szCs w:val="24"/>
        </w:rPr>
      </w:pP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Article 12</w:t>
      </w:r>
      <w:r>
        <w:rPr>
          <w:rStyle w:val="None"/>
          <w:rFonts w:ascii="Times New Roman" w:hAnsi="Times New Roman"/>
          <w:sz w:val="24"/>
          <w:szCs w:val="24"/>
          <w:rtl w:val="0"/>
          <w:lang w:val="en-US"/>
        </w:rPr>
        <w:t xml:space="preserve"> provides for the procedure for review which shall apply before its 1st international transboundary movement.</w:t>
      </w:r>
    </w:p>
    <w:p>
      <w:pPr>
        <w:pStyle w:val="Body A"/>
        <w:spacing w:after="200"/>
        <w:jc w:val="both"/>
        <w:rPr>
          <w:rStyle w:val="None"/>
          <w:rFonts w:ascii="Times New Roman" w:cs="Times New Roman" w:hAnsi="Times New Roman" w:eastAsia="Times New Roman"/>
          <w:sz w:val="24"/>
          <w:szCs w:val="24"/>
        </w:rPr>
      </w:pP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applying this principle of law to the facts, the Chadian Government did not adopt the AIA procedure hence, the Nigerian government was not given ample time to make a decision. Lack of prior notification robbed the Nigerian government from fully accessing the risk associated with the modified grains. More so, the Nigerian Government was unaware of the modifications made to the grains.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Therefore, the transboundary movement of MXZ19 was illegal and contrary to the provisions of the Cartagena Protocol. </w:t>
      </w:r>
    </w:p>
    <w:p>
      <w:pPr>
        <w:pStyle w:val="Body A"/>
        <w:spacing w:after="200"/>
        <w:jc w:val="both"/>
        <w:rPr>
          <w:rFonts w:ascii="Times New Roman" w:cs="Times New Roman" w:hAnsi="Times New Roman" w:eastAsia="Times New Roman"/>
          <w:sz w:val="24"/>
          <w:szCs w:val="24"/>
        </w:rPr>
      </w:pPr>
    </w:p>
    <w:p>
      <w:pPr>
        <w:pStyle w:val="Body A"/>
        <w:spacing w:after="20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Whether the Chadian Government can rely on their sovereignty to escape liability for damage caused by their geothermal project to the Doro Gowon Community.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issue is resolved in the negative. </w:t>
      </w:r>
    </w:p>
    <w:p>
      <w:pPr>
        <w:pStyle w:val="Body A"/>
        <w:spacing w:after="20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Article 3 </w:t>
      </w:r>
      <w:r>
        <w:rPr>
          <w:rStyle w:val="None"/>
          <w:rFonts w:ascii="Times New Roman" w:hAnsi="Times New Roman"/>
          <w:sz w:val="24"/>
          <w:szCs w:val="24"/>
          <w:rtl w:val="0"/>
          <w:lang w:val="en-US"/>
        </w:rPr>
        <w:t xml:space="preserve">of the </w:t>
      </w:r>
      <w:r>
        <w:rPr>
          <w:rStyle w:val="None"/>
          <w:rFonts w:ascii="Times New Roman" w:hAnsi="Times New Roman"/>
          <w:b w:val="1"/>
          <w:bCs w:val="1"/>
          <w:sz w:val="24"/>
          <w:szCs w:val="24"/>
          <w:rtl w:val="0"/>
          <w:lang w:val="en-US"/>
        </w:rPr>
        <w:t xml:space="preserve">Convention on Biodiversity </w:t>
      </w:r>
      <w:r>
        <w:rPr>
          <w:rStyle w:val="None"/>
          <w:rFonts w:ascii="Times New Roman" w:hAnsi="Times New Roman"/>
          <w:sz w:val="24"/>
          <w:szCs w:val="24"/>
          <w:rtl w:val="0"/>
          <w:lang w:val="en-US"/>
        </w:rPr>
        <w:t xml:space="preserve">states that </w:t>
      </w:r>
      <w:r>
        <w:rPr>
          <w:rStyle w:val="None"/>
          <w:rFonts w:ascii="Times New Roman" w:hAnsi="Times New Roman"/>
          <w:b w:val="1"/>
          <w:bCs w:val="1"/>
          <w:sz w:val="24"/>
          <w:szCs w:val="24"/>
          <w:rtl w:val="0"/>
          <w:lang w:val="en-US"/>
        </w:rPr>
        <w:t>States by the Charter of the United Nations and the principles of international law, have the sovereign right to exploit their resources according to their environmental policies, and the responsibility to ensure that activities within their jurisdiction or control do not cause damage to the environment of other States or of areas beyond the limits of national jurisdiction.</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means that states are entitled to exploit their resources but must not do so at the expense of states beyond their national jurisdiction. More so, at international law, there is the preventive principle which enjoins states to prevent damage occurring within their jurisdiction by putting an end to harmful activities that may cause irreversible consequences. </w:t>
      </w:r>
    </w:p>
    <w:p>
      <w:pPr>
        <w:pStyle w:val="Body A"/>
        <w:spacing w:after="200"/>
        <w:jc w:val="both"/>
        <w:rPr>
          <w:rStyle w:val="None"/>
          <w:rFonts w:ascii="Times New Roman" w:cs="Times New Roman" w:hAnsi="Times New Roman" w:eastAsia="Times New Roman"/>
          <w:sz w:val="24"/>
          <w:szCs w:val="24"/>
        </w:rPr>
      </w:pP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Preventive measures include carrying out an </w:t>
      </w:r>
      <w:r>
        <w:rPr>
          <w:rStyle w:val="None"/>
          <w:rFonts w:ascii="Times New Roman" w:hAnsi="Times New Roman"/>
          <w:b w:val="1"/>
          <w:bCs w:val="1"/>
          <w:sz w:val="24"/>
          <w:szCs w:val="24"/>
          <w:rtl w:val="0"/>
          <w:lang w:val="en-US"/>
        </w:rPr>
        <w:t>Environmental Impact Assessment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EIA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b w:val="1"/>
          <w:bCs w:val="1"/>
          <w:sz w:val="24"/>
          <w:szCs w:val="24"/>
          <w:rtl w:val="0"/>
          <w:lang w:val="en-US"/>
        </w:rPr>
        <w:t xml:space="preserve">Article 14 </w:t>
      </w:r>
      <w:r>
        <w:rPr>
          <w:rStyle w:val="None"/>
          <w:rFonts w:ascii="Times New Roman" w:hAnsi="Times New Roman"/>
          <w:sz w:val="24"/>
          <w:szCs w:val="24"/>
          <w:rtl w:val="0"/>
          <w:lang w:val="en-US"/>
        </w:rPr>
        <w:t>reiterates this by providing for EIA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which introduces appropriate environmental Impact Assessment procedure designed to mitigate the adverse effect of proposed projects on the environment where it is likely that such project may have such effect.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Concerning the facts, the Chadian Government, although empowered by their sovereignty to address their electricity issues, ought to have done so without causing damage to another state outside their national jurisdiction. Also, the adverse effects of the geothermal project could have been prevented if the Chadian Government carried out an EIA.</w:t>
      </w:r>
    </w:p>
    <w:p>
      <w:pPr>
        <w:pStyle w:val="Body A"/>
        <w:spacing w:after="200"/>
        <w:jc w:val="both"/>
        <w:rPr>
          <w:rStyle w:val="None"/>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sz w:val="24"/>
          <w:szCs w:val="24"/>
        </w:rPr>
      </w:pPr>
    </w:p>
    <w:p>
      <w:pPr>
        <w:pStyle w:val="Body A"/>
        <w:spacing w:after="20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What remedies are available to the Doro Gowon Community for the damage suffered.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Doro Gowon may submit to </w:t>
      </w:r>
      <w:r>
        <w:rPr>
          <w:rStyle w:val="None"/>
          <w:rFonts w:ascii="Times New Roman" w:hAnsi="Times New Roman"/>
          <w:b w:val="1"/>
          <w:bCs w:val="1"/>
          <w:sz w:val="24"/>
          <w:szCs w:val="24"/>
          <w:rtl w:val="0"/>
          <w:lang w:val="en-US"/>
        </w:rPr>
        <w:t xml:space="preserve">Arbitration </w:t>
      </w:r>
      <w:r>
        <w:rPr>
          <w:rStyle w:val="None"/>
          <w:rFonts w:ascii="Times New Roman" w:hAnsi="Times New Roman"/>
          <w:sz w:val="24"/>
          <w:szCs w:val="24"/>
          <w:rtl w:val="0"/>
          <w:lang w:val="en-US"/>
        </w:rPr>
        <w:t xml:space="preserve">or the jurisdiction of the </w:t>
      </w:r>
      <w:r>
        <w:rPr>
          <w:rStyle w:val="None"/>
          <w:rFonts w:ascii="Times New Roman" w:hAnsi="Times New Roman"/>
          <w:b w:val="1"/>
          <w:bCs w:val="1"/>
          <w:sz w:val="24"/>
          <w:szCs w:val="24"/>
          <w:rtl w:val="0"/>
          <w:lang w:val="en-US"/>
        </w:rPr>
        <w:t xml:space="preserve">International Court of Justice.  </w:t>
      </w:r>
      <w:r>
        <w:rPr>
          <w:rStyle w:val="None"/>
          <w:rFonts w:ascii="Times New Roman" w:hAnsi="Times New Roman"/>
          <w:sz w:val="24"/>
          <w:szCs w:val="24"/>
          <w:rtl w:val="0"/>
          <w:lang w:val="en-US"/>
        </w:rPr>
        <w:t>They may be entitled to damages or compensation for their loss.</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Per </w:t>
      </w:r>
      <w:r>
        <w:rPr>
          <w:rStyle w:val="None"/>
          <w:rFonts w:ascii="Times New Roman" w:hAnsi="Times New Roman"/>
          <w:b w:val="1"/>
          <w:bCs w:val="1"/>
          <w:sz w:val="24"/>
          <w:szCs w:val="24"/>
          <w:rtl w:val="0"/>
          <w:lang w:val="en-US"/>
        </w:rPr>
        <w:t xml:space="preserve">Article 27 </w:t>
      </w:r>
      <w:r>
        <w:rPr>
          <w:rStyle w:val="None"/>
          <w:rFonts w:ascii="Times New Roman" w:hAnsi="Times New Roman"/>
          <w:sz w:val="24"/>
          <w:szCs w:val="24"/>
          <w:rtl w:val="0"/>
          <w:lang w:val="en-US"/>
        </w:rPr>
        <w:t>of the</w:t>
      </w:r>
      <w:r>
        <w:rPr>
          <w:rStyle w:val="None"/>
          <w:rFonts w:ascii="Times New Roman" w:hAnsi="Times New Roman"/>
          <w:b w:val="1"/>
          <w:bCs w:val="1"/>
          <w:sz w:val="24"/>
          <w:szCs w:val="24"/>
          <w:rtl w:val="0"/>
          <w:lang w:val="en-US"/>
        </w:rPr>
        <w:t xml:space="preserve"> Convention on Biodiversity, </w:t>
      </w:r>
      <w:r>
        <w:rPr>
          <w:rStyle w:val="None"/>
          <w:rFonts w:ascii="Times New Roman" w:hAnsi="Times New Roman"/>
          <w:sz w:val="24"/>
          <w:szCs w:val="24"/>
          <w:rtl w:val="0"/>
          <w:lang w:val="en-US"/>
        </w:rPr>
        <w:t xml:space="preserve">where a dispute arises regarding the interpretation and application of the convention, the party concerned shall seek a solution by </w:t>
      </w:r>
      <w:r>
        <w:rPr>
          <w:rStyle w:val="None"/>
          <w:rFonts w:ascii="Times New Roman" w:hAnsi="Times New Roman"/>
          <w:b w:val="1"/>
          <w:bCs w:val="1"/>
          <w:sz w:val="24"/>
          <w:szCs w:val="24"/>
          <w:rtl w:val="0"/>
          <w:lang w:val="en-US"/>
        </w:rPr>
        <w:t>negotiation</w:t>
      </w:r>
      <w:r>
        <w:rPr>
          <w:rStyle w:val="None"/>
          <w:rFonts w:ascii="Times New Roman" w:hAnsi="Times New Roman"/>
          <w:sz w:val="24"/>
          <w:szCs w:val="24"/>
          <w:rtl w:val="0"/>
          <w:lang w:val="en-US"/>
        </w:rPr>
        <w:t xml:space="preserve">. Where this fails they may jointly seek the intervention of a third party via </w:t>
      </w:r>
      <w:r>
        <w:rPr>
          <w:rStyle w:val="None"/>
          <w:rFonts w:ascii="Times New Roman" w:hAnsi="Times New Roman"/>
          <w:b w:val="1"/>
          <w:bCs w:val="1"/>
          <w:sz w:val="24"/>
          <w:szCs w:val="24"/>
          <w:rtl w:val="0"/>
          <w:lang w:val="en-US"/>
        </w:rPr>
        <w:t>mediation</w:t>
      </w:r>
      <w:r>
        <w:rPr>
          <w:rStyle w:val="None"/>
          <w:rFonts w:ascii="Times New Roman" w:hAnsi="Times New Roman"/>
          <w:sz w:val="24"/>
          <w:szCs w:val="24"/>
          <w:rtl w:val="0"/>
          <w:lang w:val="en-US"/>
        </w:rPr>
        <w:t xml:space="preserve">. Where this fails again, they must submit to compulsory </w:t>
      </w:r>
      <w:r>
        <w:rPr>
          <w:rStyle w:val="None"/>
          <w:rFonts w:ascii="Times New Roman" w:hAnsi="Times New Roman"/>
          <w:b w:val="1"/>
          <w:bCs w:val="1"/>
          <w:sz w:val="24"/>
          <w:szCs w:val="24"/>
          <w:rtl w:val="0"/>
          <w:lang w:val="en-US"/>
        </w:rPr>
        <w:t>arbitration</w:t>
      </w:r>
      <w:r>
        <w:rPr>
          <w:rStyle w:val="None"/>
          <w:rFonts w:ascii="Times New Roman" w:hAnsi="Times New Roman"/>
          <w:sz w:val="24"/>
          <w:szCs w:val="24"/>
          <w:rtl w:val="0"/>
          <w:lang w:val="en-US"/>
        </w:rPr>
        <w:t xml:space="preserve"> or the jurisdiction of the </w:t>
      </w:r>
      <w:r>
        <w:rPr>
          <w:rStyle w:val="None"/>
          <w:rFonts w:ascii="Times New Roman" w:hAnsi="Times New Roman"/>
          <w:b w:val="1"/>
          <w:bCs w:val="1"/>
          <w:sz w:val="24"/>
          <w:szCs w:val="24"/>
          <w:rtl w:val="0"/>
          <w:lang w:val="en-US"/>
        </w:rPr>
        <w:t>International Court of Justice</w:t>
      </w:r>
      <w:r>
        <w:rPr>
          <w:rStyle w:val="None"/>
          <w:rFonts w:ascii="Times New Roman" w:hAnsi="Times New Roman"/>
          <w:sz w:val="24"/>
          <w:szCs w:val="24"/>
          <w:rtl w:val="0"/>
          <w:lang w:val="en-US"/>
        </w:rPr>
        <w:t xml:space="preserve">. The parties may also submit to conciliation where this fails. </w:t>
      </w:r>
    </w:p>
    <w:p>
      <w:pPr>
        <w:pStyle w:val="Body A"/>
        <w:spacing w:after="200"/>
        <w:jc w:val="both"/>
        <w:rPr>
          <w:rFonts w:ascii="Times New Roman" w:cs="Times New Roman" w:hAnsi="Times New Roman" w:eastAsia="Times New Roman"/>
          <w:b w:val="1"/>
          <w:bCs w:val="1"/>
          <w:sz w:val="24"/>
          <w:szCs w:val="24"/>
        </w:rPr>
      </w:pPr>
    </w:p>
    <w:p>
      <w:pPr>
        <w:pStyle w:val="Body A"/>
        <w:spacing w:after="200"/>
        <w:jc w:val="both"/>
        <w:rPr>
          <w:rFonts w:ascii="Times New Roman" w:cs="Times New Roman" w:hAnsi="Times New Roman" w:eastAsia="Times New Roman"/>
          <w:b w:val="1"/>
          <w:bCs w:val="1"/>
          <w:sz w:val="24"/>
          <w:szCs w:val="24"/>
        </w:rPr>
      </w:pPr>
    </w:p>
    <w:p>
      <w:pPr>
        <w:pStyle w:val="Body A"/>
        <w:spacing w:after="20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Conclusion/Advice</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Upon careful analysis of the imminent issues and the legal responses to these issues, this legal practitioner concludes that the Doro Gowon Community has a legal standing against the Chadian government.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On this note, this legal practitioner advises the Doro Community to report to the case to the Nigerian Government who would then take this up with the Chadian Government utilizing the provisions of the </w:t>
      </w:r>
      <w:r>
        <w:rPr>
          <w:rStyle w:val="None"/>
          <w:rFonts w:ascii="Times New Roman" w:hAnsi="Times New Roman"/>
          <w:b w:val="1"/>
          <w:bCs w:val="1"/>
          <w:sz w:val="24"/>
          <w:szCs w:val="24"/>
          <w:rtl w:val="0"/>
          <w:lang w:val="en-US"/>
        </w:rPr>
        <w:t>Convention of Biodiversity</w:t>
      </w:r>
      <w:r>
        <w:rPr>
          <w:rStyle w:val="None"/>
          <w:rFonts w:ascii="Times New Roman" w:hAnsi="Times New Roman"/>
          <w:sz w:val="24"/>
          <w:szCs w:val="24"/>
          <w:rtl w:val="0"/>
          <w:lang w:val="en-US"/>
        </w:rPr>
        <w:t xml:space="preserve"> and the </w:t>
      </w:r>
      <w:r>
        <w:rPr>
          <w:rStyle w:val="None"/>
          <w:rFonts w:ascii="Times New Roman" w:hAnsi="Times New Roman"/>
          <w:b w:val="1"/>
          <w:bCs w:val="1"/>
          <w:sz w:val="24"/>
          <w:szCs w:val="24"/>
          <w:rtl w:val="0"/>
          <w:lang w:val="en-US"/>
        </w:rPr>
        <w:t xml:space="preserve">Cartagena Protocol on Biosafety to the Convention on the Biological Diversity </w:t>
      </w:r>
      <w:r>
        <w:rPr>
          <w:rStyle w:val="None"/>
          <w:rFonts w:ascii="Times New Roman" w:hAnsi="Times New Roman"/>
          <w:sz w:val="24"/>
          <w:szCs w:val="24"/>
          <w:rtl w:val="0"/>
          <w:lang w:val="en-US"/>
        </w:rPr>
        <w:t xml:space="preserve">as discussed above.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Nigerian Government on behalf of the Doro Gowon Community may sue for the failure of the Chadian Government to notify them before the transportation of MXZ19 to give than time to assess its potential risk to human health and the conservation and sustainable use of biodiversity under the applicable laws mentioned. </w:t>
      </w:r>
    </w:p>
    <w:p>
      <w:pPr>
        <w:pStyle w:val="Body A"/>
        <w:spacing w:after="200"/>
        <w:jc w:val="both"/>
        <w:rPr>
          <w:rStyle w:val="None"/>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sz w:val="24"/>
          <w:szCs w:val="24"/>
        </w:rPr>
      </w:pPr>
    </w:p>
    <w:p>
      <w:pPr>
        <w:pStyle w:val="Body A"/>
        <w:spacing w:after="200"/>
        <w:jc w:val="both"/>
        <w:rPr>
          <w:rFonts w:ascii="Times New Roman" w:cs="Times New Roman" w:hAnsi="Times New Roman" w:eastAsia="Times New Roman"/>
          <w:b w:val="1"/>
          <w:bCs w:val="1"/>
          <w:sz w:val="24"/>
          <w:szCs w:val="24"/>
        </w:rPr>
      </w:pPr>
    </w:p>
    <w:p>
      <w:pPr>
        <w:pStyle w:val="Body A"/>
        <w:spacing w:after="200"/>
        <w:jc w:val="both"/>
      </w:pPr>
    </w:p>
    <w:p>
      <w:pPr>
        <w:pStyle w:val="Body A"/>
        <w:spacing w:after="20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References</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Damilola Olawuyi, The Principles of Nigerian Environmental Law (Afe Babalola University Printing Press) </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Cartagena Protocol on Biosafety to the Convention on Biological Diversity, </w:t>
      </w:r>
      <w:r>
        <w:rPr>
          <w:rStyle w:val="Hyperlink.1"/>
        </w:rPr>
        <w:fldChar w:fldCharType="begin" w:fldLock="0"/>
      </w:r>
      <w:r>
        <w:rPr>
          <w:rStyle w:val="Hyperlink.1"/>
        </w:rPr>
        <w:instrText xml:space="preserve"> HYPERLINK "https://www.cbd.int/doc/legal/cartagena-protocol-en.pdf"</w:instrText>
      </w:r>
      <w:r>
        <w:rPr>
          <w:rStyle w:val="Hyperlink.1"/>
        </w:rPr>
        <w:fldChar w:fldCharType="separate" w:fldLock="0"/>
      </w:r>
      <w:r>
        <w:rPr>
          <w:rStyle w:val="Hyperlink.1"/>
          <w:rtl w:val="0"/>
          <w:lang w:val="en-US"/>
        </w:rPr>
        <w:t>https://www.cbd.int/doc/legal/cartagena-protocol-en.pdf</w:t>
      </w:r>
      <w:r>
        <w:rPr/>
        <w:fldChar w:fldCharType="end" w:fldLock="0"/>
      </w:r>
      <w:r>
        <w:rPr>
          <w:rStyle w:val="None"/>
          <w:rFonts w:ascii="Times New Roman" w:hAnsi="Times New Roman"/>
          <w:sz w:val="24"/>
          <w:szCs w:val="24"/>
          <w:rtl w:val="0"/>
          <w:lang w:val="en-US"/>
        </w:rPr>
        <w:t xml:space="preserve"> (accessed April 29,2020).</w:t>
      </w:r>
    </w:p>
    <w:p>
      <w:pPr>
        <w:pStyle w:val="Body A"/>
        <w:spacing w:after="20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Convention on Biodiversity, </w:t>
      </w:r>
      <w:r>
        <w:rPr>
          <w:rStyle w:val="Hyperlink.1"/>
        </w:rPr>
        <w:fldChar w:fldCharType="begin" w:fldLock="0"/>
      </w:r>
      <w:r>
        <w:rPr>
          <w:rStyle w:val="Hyperlink.1"/>
        </w:rPr>
        <w:instrText xml:space="preserve"> HYPERLINK "https://www.cbd.int/doc/legal/cbd-en.pdf"</w:instrText>
      </w:r>
      <w:r>
        <w:rPr>
          <w:rStyle w:val="Hyperlink.1"/>
        </w:rPr>
        <w:fldChar w:fldCharType="separate" w:fldLock="0"/>
      </w:r>
      <w:r>
        <w:rPr>
          <w:rStyle w:val="Hyperlink.1"/>
          <w:rtl w:val="0"/>
          <w:lang w:val="en-US"/>
        </w:rPr>
        <w:t>https://www.cbd.int/doc/legal/cbd-en.pdf</w:t>
      </w:r>
      <w:r>
        <w:rPr/>
        <w:fldChar w:fldCharType="end" w:fldLock="0"/>
      </w:r>
      <w:r>
        <w:rPr>
          <w:rStyle w:val="None"/>
          <w:rFonts w:ascii="Times New Roman" w:hAnsi="Times New Roman"/>
          <w:sz w:val="24"/>
          <w:szCs w:val="24"/>
          <w:rtl w:val="0"/>
          <w:lang w:val="en-US"/>
        </w:rPr>
        <w:t xml:space="preserve"> (accessed April 29, 2020)</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spacing w:after="200"/>
        <w:rPr>
          <w:rFonts w:ascii="Times New Roman" w:cs="Times New Roman" w:hAnsi="Times New Roman" w:eastAsia="Times New Roman"/>
          <w:sz w:val="20"/>
          <w:szCs w:val="20"/>
          <w:lang w:val="en-US"/>
        </w:rPr>
      </w:pPr>
      <w:r>
        <w:rPr>
          <w:rFonts w:ascii="Times New Roman" w:cs="Times New Roman" w:hAnsi="Times New Roman" w:eastAsia="Times New Roman"/>
          <w:b w:val="1"/>
          <w:bCs w:val="1"/>
          <w:sz w:val="24"/>
          <w:szCs w:val="24"/>
          <w:vertAlign w:val="superscript"/>
        </w:rPr>
        <w:footnoteRef/>
      </w:r>
      <w:r>
        <w:rPr>
          <w:rFonts w:ascii="Avenir Next" w:hAnsi="Avenir Next"/>
          <w:sz w:val="16"/>
          <w:szCs w:val="16"/>
          <w:rtl w:val="0"/>
        </w:rPr>
        <w:t xml:space="preserve"> </w:t>
      </w:r>
      <w:r>
        <w:rPr>
          <w:rFonts w:ascii="Times New Roman" w:hAnsi="Times New Roman"/>
          <w:sz w:val="20"/>
          <w:szCs w:val="20"/>
          <w:rtl w:val="0"/>
          <w:lang w:val="en-US"/>
        </w:rPr>
        <w:t xml:space="preserve">According to Article 2 of the Convention on Biodiversity, biodiversity is the variability that exists among living organisms from all sources, including, inter alia, terrestrial, marine and other aquatic ecosystems and the ecological complexes of which they are part which includes diversity within species of ecosystems. </w:t>
      </w:r>
    </w:p>
  </w:footnote>
  <w:footnote w:id="2">
    <w:p>
      <w:pPr>
        <w:pStyle w:val="Footnote"/>
        <w:spacing w:after="200"/>
      </w:pPr>
      <w:r>
        <w:rPr>
          <w:rFonts w:ascii="Times New Roman" w:cs="Times New Roman" w:hAnsi="Times New Roman" w:eastAsia="Times New Roman"/>
          <w:sz w:val="24"/>
          <w:szCs w:val="24"/>
          <w:vertAlign w:val="superscript"/>
        </w:rPr>
        <w:footnoteRef/>
      </w:r>
      <w:r>
        <w:rPr>
          <w:rFonts w:ascii="Avenir Next" w:hAnsi="Avenir Next"/>
          <w:sz w:val="16"/>
          <w:szCs w:val="16"/>
          <w:rtl w:val="0"/>
          <w:lang w:val="en-US"/>
        </w:rPr>
        <w:t xml:space="preserve"> See Article 9 of the Cartagena Protocol on Biosafety to the Convention on Biological Diversity,</w:t>
      </w:r>
      <w:r>
        <w:rPr>
          <w:rStyle w:val="Hyperlink.0"/>
        </w:rPr>
        <w:fldChar w:fldCharType="begin" w:fldLock="0"/>
      </w:r>
      <w:r>
        <w:rPr>
          <w:rStyle w:val="Hyperlink.0"/>
        </w:rPr>
        <w:instrText xml:space="preserve"> HYPERLINK "https://www.cbd.int/doc/legal/cartagena-protocol-en.pdf"</w:instrText>
      </w:r>
      <w:r>
        <w:rPr>
          <w:rStyle w:val="Hyperlink.0"/>
        </w:rPr>
        <w:fldChar w:fldCharType="separate" w:fldLock="0"/>
      </w:r>
      <w:r>
        <w:rPr>
          <w:rStyle w:val="Hyperlink.0"/>
          <w:rtl w:val="0"/>
          <w:lang w:val="en-US"/>
        </w:rPr>
        <w:t>https://www.cbd.int/doc/legal/cartagena-protocol-en.pdf</w:t>
      </w:r>
      <w:r>
        <w:rPr/>
        <w:fldChar w:fldCharType="end" w:fldLock="0"/>
      </w:r>
      <w:r>
        <w:rPr>
          <w:rStyle w:val="None"/>
          <w:rFonts w:ascii="Avenir Next" w:hAnsi="Avenir Next"/>
          <w:sz w:val="16"/>
          <w:szCs w:val="16"/>
          <w:rtl w:val="0"/>
          <w:lang w:val="en-US"/>
        </w:rPr>
        <w:t xml:space="preserve"> (accessed April 29,2020). </w:t>
      </w:r>
    </w:p>
  </w:footnote>
  <w:footnote w:id="3">
    <w:p>
      <w:pPr>
        <w:pStyle w:val="Footnote"/>
        <w:spacing w:after="200"/>
        <w:rPr>
          <w:rStyle w:val="None"/>
          <w:rFonts w:ascii="Avenir Next" w:cs="Avenir Next" w:hAnsi="Avenir Next" w:eastAsia="Avenir Next"/>
          <w:sz w:val="16"/>
          <w:szCs w:val="16"/>
          <w:lang w:val="en-US"/>
        </w:rPr>
      </w:pPr>
      <w:r>
        <w:rPr>
          <w:rStyle w:val="None"/>
          <w:rFonts w:ascii="Times New Roman" w:cs="Times New Roman" w:hAnsi="Times New Roman" w:eastAsia="Times New Roman"/>
          <w:sz w:val="24"/>
          <w:szCs w:val="24"/>
          <w:vertAlign w:val="superscript"/>
        </w:rPr>
        <w:footnoteRef/>
      </w:r>
      <w:r>
        <w:rPr>
          <w:rStyle w:val="None"/>
          <w:rFonts w:ascii="Avenir Next" w:hAnsi="Avenir Next"/>
          <w:sz w:val="16"/>
          <w:szCs w:val="16"/>
          <w:rtl w:val="0"/>
        </w:rPr>
        <w:t xml:space="preserve"> </w:t>
      </w:r>
      <w:r>
        <w:rPr>
          <w:rStyle w:val="None"/>
          <w:rFonts w:ascii="Avenir Next" w:hAnsi="Avenir Next"/>
          <w:sz w:val="16"/>
          <w:szCs w:val="16"/>
          <w:rtl w:val="0"/>
          <w:lang w:val="en-US"/>
        </w:rPr>
        <w:t xml:space="preserve">See Article 20, the Biosafety Clearing-House facilitates the exchange of scientific, technical, environmental and legal information on living modified organisms as well as assisting parties in implementing its obligations.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819"/>
        <w:tab w:val="right" w:pos="9612"/>
        <w:tab w:val="clear" w:pos="9020"/>
      </w:tabs>
    </w:pPr>
    <w:r>
      <w:rPr>
        <w:rFonts w:ascii="Times New Roman" w:hAnsi="Times New Roman"/>
        <w:sz w:val="20"/>
        <w:szCs w:val="20"/>
        <w:rtl w:val="0"/>
      </w:rPr>
      <w:fldChar w:fldCharType="begin" w:fldLock="0"/>
    </w:r>
    <w:r>
      <w:rPr>
        <w:rFonts w:ascii="Times New Roman" w:hAnsi="Times New Roman"/>
        <w:sz w:val="20"/>
        <w:szCs w:val="20"/>
        <w:rtl w:val="0"/>
      </w:rPr>
      <w:instrText xml:space="preserve"> PAGE </w:instrText>
    </w:r>
    <w:r>
      <w:rPr>
        <w:rFonts w:ascii="Times New Roman" w:hAnsi="Times New Roman"/>
        <w:sz w:val="20"/>
        <w:szCs w:val="20"/>
        <w:rtl w:val="0"/>
      </w:rPr>
      <w:fldChar w:fldCharType="separate" w:fldLock="0"/>
    </w:r>
    <w:r>
      <w:rPr>
        <w:rFonts w:ascii="Times New Roman" w:hAnsi="Times New Roman"/>
        <w:sz w:val="20"/>
        <w:szCs w:val="20"/>
        <w:rtl w:val="0"/>
      </w:rPr>
      <w:t>7</w:t>
    </w:r>
    <w:r>
      <w:rPr>
        <w:rFonts w:ascii="Times New Roman" w:hAnsi="Times New Roman"/>
        <w:sz w:val="20"/>
        <w:szCs w:val="20"/>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04" w:hanging="3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24" w:hanging="3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44" w:hanging="3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64" w:hanging="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984" w:hanging="3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304" w:hanging="3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624" w:hanging="3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944" w:hanging="3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numbering" w:styleId="Lettered">
    <w:name w:val="Lettered"/>
    <w:pPr>
      <w:numPr>
        <w:numId w:val="4"/>
      </w:numPr>
    </w:pPr>
  </w:style>
  <w:style w:type="character" w:styleId="None">
    <w:name w:val="None"/>
  </w:style>
  <w:style w:type="character" w:styleId="Hyperlink.0">
    <w:name w:val="Hyperlink.0"/>
    <w:basedOn w:val="None"/>
    <w:next w:val="Hyperlink.0"/>
    <w:rPr>
      <w:rFonts w:ascii="Avenir Next" w:cs="Avenir Next" w:hAnsi="Avenir Next" w:eastAsia="Avenir Next"/>
      <w:sz w:val="16"/>
      <w:szCs w:val="16"/>
      <w:u w:val="single"/>
      <w:lang w:val="en-US"/>
    </w:rPr>
  </w:style>
  <w:style w:type="character" w:styleId="Hyperlink.1">
    <w:name w:val="Hyperlink.1"/>
    <w:basedOn w:val="None"/>
    <w:next w:val="Hyperlink.1"/>
    <w:rPr>
      <w:rFonts w:ascii="Times New Roman" w:cs="Times New Roman" w:hAnsi="Times New Roman" w:eastAsia="Times New Roman"/>
      <w:sz w:val="24"/>
      <w:szCs w:val="2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