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kern w:val="0"/>
          <w:sz w:val="28"/>
          <w:szCs w:val="28"/>
          <w:highlight w:val="none"/>
          <w:lang w:val="en-US" w:eastAsia="zh-CN" w:bidi="ar"/>
        </w:rPr>
        <w:t> </w:t>
      </w:r>
      <w:r>
        <w:rPr>
          <w:rFonts w:hint="default" w:ascii="Times New Roman" w:hAnsi="Times New Roman" w:eastAsia="Times New Roman" w:cs="Times New Roman"/>
          <w:b w:val="0"/>
          <w:bCs w:val="0"/>
          <w:i w:val="0"/>
          <w:caps w:val="0"/>
          <w:color w:val="121212"/>
          <w:spacing w:val="0"/>
          <w:kern w:val="0"/>
          <w:sz w:val="28"/>
          <w:szCs w:val="28"/>
          <w:highlight w:val="none"/>
          <w:lang w:val="en-US" w:eastAsia="zh-CN" w:bidi="ar"/>
        </w:rPr>
        <w:t> </w:t>
      </w:r>
      <w:r>
        <w:rPr>
          <w:rFonts w:hint="default" w:ascii="Times New Roman" w:hAnsi="Times New Roman" w:eastAsia="Times New Roman" w:cs="Times New Roman"/>
          <w:b w:val="0"/>
          <w:bCs w:val="0"/>
          <w:i w:val="0"/>
          <w:caps w:val="0"/>
          <w:color w:val="121212"/>
          <w:spacing w:val="0"/>
          <w:kern w:val="0"/>
          <w:sz w:val="28"/>
          <w:szCs w:val="28"/>
          <w:highlight w:val="none"/>
          <w:shd w:val="clear" w:fill="FFFFFF"/>
          <w:lang w:val="en-US" w:eastAsia="zh-CN" w:bidi="ar"/>
        </w:rPr>
        <w:t>importance of data collection to Public Health research.</w:t>
      </w:r>
    </w:p>
    <w:p>
      <w:pPr>
        <w:widowControl/>
        <w:jc w:val="left"/>
        <w:rPr>
          <w:rFonts w:hint="default" w:ascii="Times New Roman" w:hAnsi="Times New Roman" w:eastAsia="Times New Roman" w:cs="Times New Roman"/>
          <w:b w:val="0"/>
          <w:bCs w:val="0"/>
          <w:color w:val="121212"/>
          <w:sz w:val="28"/>
          <w:szCs w:val="28"/>
          <w:highlight w:val="none"/>
        </w:rPr>
      </w:pPr>
    </w:p>
    <w:p>
      <w:pPr>
        <w:pStyle w:val="3"/>
        <w:widowControl/>
        <w:spacing w:beforeAutospacing="0" w:after="0" w:afterAutospacing="0" w:line="16" w:lineRule="atLeast"/>
        <w:ind w:left="270" w:right="0" w:firstLine="0"/>
        <w:rPr>
          <w:rFonts w:hint="default" w:ascii="Times New Roman" w:hAnsi="Times New Roman" w:eastAsia="Times New Roman" w:cs="Times New Roman"/>
          <w:b w:val="0"/>
          <w:bCs w:val="0"/>
          <w:i w:val="0"/>
          <w:caps w:val="0"/>
          <w:color w:val="121212"/>
          <w:spacing w:val="0"/>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rPr>
        <w:t xml:space="preserve">1. </w:t>
      </w:r>
      <w:r>
        <w:rPr>
          <w:rFonts w:hint="default" w:ascii="Times New Roman" w:hAnsi="Times New Roman" w:eastAsia="Times New Roman" w:cs="Times New Roman"/>
          <w:b w:val="0"/>
          <w:bCs w:val="0"/>
          <w:i w:val="0"/>
          <w:caps w:val="0"/>
          <w:color w:val="121212"/>
          <w:spacing w:val="0"/>
          <w:sz w:val="28"/>
          <w:szCs w:val="28"/>
          <w:highlight w:val="none"/>
        </w:rPr>
        <w:t xml:space="preserve">We can use predictive data analytics to leverage seemingly unrelated data to predict who is </w:t>
      </w:r>
      <w:r>
        <w:rPr>
          <w:rFonts w:hint="default" w:ascii="Times New Roman" w:hAnsi="Times New Roman" w:eastAsia="Times New Roman" w:cs="Times New Roman"/>
          <w:b w:val="0"/>
          <w:bCs w:val="0"/>
          <w:i w:val="0"/>
          <w:caps w:val="0"/>
          <w:color w:val="121212"/>
          <w:spacing w:val="0"/>
          <w:sz w:val="28"/>
          <w:szCs w:val="28"/>
          <w:highlight w:val="none"/>
        </w:rPr>
        <w:t>most susceptible to birth complications or chronic diseases or where and when a virulent outbreak is most likely to occur</w:t>
      </w:r>
      <w:r>
        <w:rPr>
          <w:rFonts w:hint="default" w:ascii="Times New Roman" w:hAnsi="Times New Roman" w:eastAsia="Times New Roman" w:cs="Times New Roman"/>
          <w:b w:val="0"/>
          <w:bCs w:val="0"/>
          <w:i w:val="0"/>
          <w:caps w:val="0"/>
          <w:color w:val="121212"/>
          <w:spacing w:val="0"/>
          <w:sz w:val="28"/>
          <w:szCs w:val="28"/>
          <w:highlight w:val="none"/>
        </w:rPr>
        <w:t>.</w:t>
      </w:r>
    </w:p>
    <w:p>
      <w:pPr>
        <w:pStyle w:val="3"/>
        <w:widowControl/>
        <w:pBdr>
          <w:top w:val="none" w:color="auto" w:sz="0" w:space="0"/>
        </w:pBdr>
        <w:spacing w:beforeAutospacing="0" w:after="0" w:afterAutospacing="0" w:line="16" w:lineRule="atLeast"/>
        <w:ind w:left="270" w:right="0" w:firstLine="0"/>
        <w:rPr>
          <w:rFonts w:hint="default" w:ascii="Times New Roman" w:hAnsi="Times New Roman" w:eastAsia="Times New Roman" w:cs="Times New Roman"/>
          <w:b w:val="0"/>
          <w:bCs w:val="0"/>
          <w:i w:val="0"/>
          <w:caps w:val="0"/>
          <w:color w:val="121212"/>
          <w:spacing w:val="0"/>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rPr>
        <w:t xml:space="preserve">2. </w:t>
      </w:r>
      <w:r>
        <w:rPr>
          <w:rFonts w:hint="default" w:ascii="Times New Roman" w:hAnsi="Times New Roman" w:eastAsia="Times New Roman" w:cs="Times New Roman"/>
          <w:b w:val="0"/>
          <w:bCs w:val="0"/>
          <w:i w:val="0"/>
          <w:caps w:val="0"/>
          <w:color w:val="121212"/>
          <w:spacing w:val="0"/>
          <w:sz w:val="28"/>
          <w:szCs w:val="28"/>
          <w:highlight w:val="none"/>
        </w:rPr>
        <w:t>We can  leverage data and history to make smarter, more targeted decisions.</w:t>
      </w:r>
      <w:r>
        <w:rPr>
          <w:rFonts w:hint="default" w:ascii="Times New Roman" w:hAnsi="Times New Roman" w:eastAsia="Times New Roman" w:cs="Times New Roman"/>
          <w:b w:val="0"/>
          <w:bCs w:val="0"/>
          <w:i w:val="0"/>
          <w:caps w:val="0"/>
          <w:color w:val="121212"/>
          <w:spacing w:val="0"/>
          <w:sz w:val="28"/>
          <w:szCs w:val="28"/>
          <w:highlight w:val="none"/>
        </w:rPr>
        <w:t> </w:t>
      </w:r>
    </w:p>
    <w:p>
      <w:pPr>
        <w:pStyle w:val="3"/>
        <w:widowControl/>
        <w:pBdr>
          <w:top w:val="none" w:color="auto" w:sz="0" w:space="0"/>
        </w:pBdr>
        <w:spacing w:beforeAutospacing="0" w:after="0" w:afterAutospacing="0" w:line="16" w:lineRule="atLeast"/>
        <w:ind w:left="270" w:right="0" w:firstLine="0"/>
        <w:rPr>
          <w:rFonts w:hint="default" w:ascii="Times New Roman" w:hAnsi="Times New Roman" w:eastAsia="Times New Roman" w:cs="Times New Roman"/>
          <w:b w:val="0"/>
          <w:bCs w:val="0"/>
          <w:i w:val="0"/>
          <w:caps w:val="0"/>
          <w:color w:val="121212"/>
          <w:spacing w:val="0"/>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rPr>
        <w:t xml:space="preserve">3. </w:t>
      </w:r>
      <w:r>
        <w:rPr>
          <w:rFonts w:hint="default" w:ascii="Times New Roman" w:hAnsi="Times New Roman" w:eastAsia="Times New Roman" w:cs="Times New Roman"/>
          <w:b w:val="0"/>
          <w:bCs w:val="0"/>
          <w:i w:val="0"/>
          <w:caps w:val="0"/>
          <w:color w:val="121212"/>
          <w:spacing w:val="0"/>
          <w:sz w:val="28"/>
          <w:szCs w:val="28"/>
          <w:highlight w:val="none"/>
        </w:rPr>
        <w:t>Predictive models may help determine the allocation of resources and prioritize home inspections in high lead poisoning risk areas (an active approach), instead of waiting for reports of children’s elevated blood lead levels to trigger an inspection (the current passive approach).</w:t>
      </w:r>
    </w:p>
    <w:p>
      <w:pPr>
        <w:pStyle w:val="3"/>
        <w:widowControl/>
        <w:spacing w:beforeAutospacing="0" w:after="0" w:afterAutospacing="0" w:line="324" w:lineRule="atLeast"/>
        <w:ind w:left="0" w:firstLine="0"/>
        <w:rPr>
          <w:rFonts w:hint="default" w:ascii="Times New Roman" w:hAnsi="Times New Roman" w:eastAsia="Times New Roman" w:cs="Times New Roman"/>
          <w:b w:val="0"/>
          <w:bCs w:val="0"/>
          <w:i w:val="0"/>
          <w:caps w:val="0"/>
          <w:color w:val="121212"/>
          <w:spacing w:val="0"/>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4. </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There is a great opportunity in public health to use analytics to promote data-driven policies. We need to use our data better, share it with the public and our partners, and then leverage that data to create better policies, systems and environmental changes.</w:t>
      </w:r>
    </w:p>
    <w:p>
      <w:pPr>
        <w:pStyle w:val="3"/>
        <w:widowControl/>
        <w:spacing w:beforeAutospacing="0" w:after="0" w:afterAutospacing="0" w:line="324" w:lineRule="atLeast"/>
        <w:ind w:left="0" w:firstLine="0"/>
        <w:rPr>
          <w:rFonts w:hint="default" w:ascii="Times New Roman" w:hAnsi="Times New Roman" w:eastAsia="Times New Roman" w:cs="Times New Roman"/>
          <w:b w:val="0"/>
          <w:bCs w:val="0"/>
          <w:i w:val="0"/>
          <w:caps w:val="0"/>
          <w:color w:val="121212"/>
          <w:spacing w:val="0"/>
          <w:sz w:val="28"/>
          <w:szCs w:val="28"/>
          <w:highlight w:val="none"/>
          <w:shd w:val="clear" w:fill="FFFFFF"/>
        </w:rPr>
      </w:pP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5.</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The link between problem identification and public health response is well established for many of the communicable diseases. An outbreak of a communicable disease usually leads to an investigation and appropriate public health action (e.g., removal of food product, exclusion from school, vaccination, treatment of water supply). Surveillance</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and analytical data</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may also be used to target or modify education, immunization, and other risk-reduction </w:t>
      </w:r>
      <w:r>
        <w:rPr>
          <w:rFonts w:hint="default" w:ascii="Times New Roman" w:hAnsi="Times New Roman" w:eastAsia="Times New Roman" w:cs="Times New Roman"/>
          <w:b w:val="0"/>
          <w:bCs w:val="0"/>
          <w:i w:val="0"/>
          <w:caps w:val="0"/>
          <w:color w:val="121212"/>
          <w:spacing w:val="0"/>
          <w:sz w:val="28"/>
          <w:szCs w:val="28"/>
          <w:highlight w:val="none"/>
          <w:shd w:val="clear" w:fill="FFFFFF"/>
          <w:lang w:val="en-US"/>
        </w:rPr>
        <w:t>program</w:t>
      </w:r>
      <w:r>
        <w:rPr>
          <w:rFonts w:hint="default" w:ascii="Times New Roman" w:hAnsi="Times New Roman" w:eastAsia="Times New Roman" w:cs="Times New Roman"/>
          <w:b w:val="0"/>
          <w:bCs w:val="0"/>
          <w:i w:val="0"/>
          <w:caps w:val="0"/>
          <w:color w:val="121212"/>
          <w:spacing w:val="0"/>
          <w:sz w:val="28"/>
          <w:szCs w:val="28"/>
          <w:highlight w:val="none"/>
          <w:shd w:val="clear" w:fill="FFFFFF"/>
        </w:rPr>
        <w:t>.</w:t>
      </w:r>
    </w:p>
    <w:p>
      <w:pPr>
        <w:pStyle w:val="3"/>
        <w:widowControl/>
        <w:spacing w:beforeAutospacing="0" w:after="0" w:afterAutospacing="0" w:line="324" w:lineRule="atLeast"/>
        <w:ind w:left="0" w:firstLine="0"/>
        <w:rPr>
          <w:rFonts w:hint="default" w:ascii="Times New Roman" w:hAnsi="Times New Roman" w:eastAsia="Times New Roman" w:cs="Times New Roman"/>
          <w:b w:val="0"/>
          <w:bCs w:val="0"/>
          <w:i w:val="0"/>
          <w:caps w:val="0"/>
          <w:color w:val="121212"/>
          <w:spacing w:val="0"/>
          <w:sz w:val="28"/>
          <w:szCs w:val="28"/>
          <w:highlight w:val="none"/>
          <w:shd w:val="clear" w:fill="FFFFFF"/>
        </w:rPr>
      </w:pP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6. </w:t>
      </w:r>
      <w:r>
        <w:rPr>
          <w:rFonts w:hint="default" w:ascii="Times New Roman" w:hAnsi="Times New Roman" w:eastAsia="Times New Roman" w:cs="Times New Roman"/>
          <w:b w:val="0"/>
          <w:bCs w:val="0"/>
          <w:i w:val="0"/>
          <w:caps w:val="0"/>
          <w:color w:val="121212"/>
          <w:spacing w:val="0"/>
          <w:sz w:val="28"/>
          <w:szCs w:val="28"/>
          <w:highlight w:val="none"/>
          <w:shd w:val="clear" w:fill="FFFFFF"/>
        </w:rPr>
        <w:t>The</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link between chronic disease surveillance and</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public health </w:t>
      </w:r>
      <w:r>
        <w:rPr>
          <w:rFonts w:hint="default" w:ascii="Times New Roman" w:hAnsi="Times New Roman" w:eastAsia="Times New Roman" w:cs="Times New Roman"/>
          <w:b w:val="0"/>
          <w:bCs w:val="0"/>
          <w:i w:val="0"/>
          <w:caps w:val="0"/>
          <w:color w:val="121212"/>
          <w:spacing w:val="0"/>
          <w:sz w:val="28"/>
          <w:szCs w:val="28"/>
          <w:highlight w:val="none"/>
          <w:shd w:val="clear" w:fill="FFFFFF"/>
        </w:rPr>
        <w:t>programs</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 is less well characterized. In</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part, this reflects the immaturity of most chronic disease surveillance efforts. In part, it also reflects the</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nature of chronic diseases and the time frame in which</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a response is appropriate. Rather than warranting an</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acute response, changes in chronic disease occurrence</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are more likely to result in initiation of new community</w:t>
      </w:r>
      <w:r>
        <w:rPr>
          <w:rFonts w:hint="default" w:ascii="Times New Roman" w:hAnsi="Times New Roman" w:eastAsia="Times New Roman" w:cs="Times New Roman"/>
          <w:b w:val="0"/>
          <w:bCs w:val="0"/>
          <w:i w:val="0"/>
          <w:caps w:val="0"/>
          <w:color w:val="121212"/>
          <w:spacing w:val="0"/>
          <w:sz w:val="28"/>
          <w:szCs w:val="28"/>
          <w:highlight w:val="none"/>
          <w:shd w:val="clear" w:fill="FFFFFF"/>
        </w:rPr>
        <w:t> </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intervention </w:t>
      </w:r>
      <w:r>
        <w:rPr>
          <w:rFonts w:hint="default" w:ascii="Times New Roman" w:hAnsi="Times New Roman" w:eastAsia="Times New Roman" w:cs="Times New Roman"/>
          <w:b w:val="0"/>
          <w:bCs w:val="0"/>
          <w:i w:val="0"/>
          <w:caps w:val="0"/>
          <w:color w:val="121212"/>
          <w:spacing w:val="0"/>
          <w:sz w:val="28"/>
          <w:szCs w:val="28"/>
          <w:highlight w:val="none"/>
          <w:shd w:val="clear" w:fill="FFFFFF"/>
        </w:rPr>
        <w:t>programs</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 which may affect </w:t>
      </w:r>
      <w:r>
        <w:rPr>
          <w:rFonts w:hint="default" w:ascii="Times New Roman" w:hAnsi="Times New Roman" w:eastAsia="Times New Roman" w:cs="Times New Roman"/>
          <w:b w:val="0"/>
          <w:bCs w:val="0"/>
          <w:i w:val="0"/>
          <w:caps w:val="0"/>
          <w:color w:val="121212"/>
          <w:spacing w:val="0"/>
          <w:sz w:val="28"/>
          <w:szCs w:val="28"/>
          <w:highlight w:val="none"/>
          <w:shd w:val="clear" w:fill="FFFFFF"/>
        </w:rPr>
        <w:t>disease occurrence</w:t>
      </w:r>
      <w:r>
        <w:rPr>
          <w:rFonts w:hint="default" w:ascii="Times New Roman" w:hAnsi="Times New Roman" w:eastAsia="Times New Roman" w:cs="Times New Roman"/>
          <w:b w:val="0"/>
          <w:bCs w:val="0"/>
          <w:i w:val="0"/>
          <w:caps w:val="0"/>
          <w:color w:val="121212"/>
          <w:spacing w:val="0"/>
          <w:sz w:val="28"/>
          <w:szCs w:val="28"/>
          <w:highlight w:val="none"/>
          <w:shd w:val="clear" w:fill="FFFFFF"/>
        </w:rPr>
        <w:t xml:space="preserve"> in 10 or even 20 years</w:t>
      </w:r>
    </w:p>
    <w:p>
      <w:pPr>
        <w:pStyle w:val="3"/>
        <w:widowControl/>
        <w:spacing w:beforeAutospacing="0" w:after="0" w:afterAutospacing="0" w:line="324" w:lineRule="atLeast"/>
        <w:ind w:left="0" w:firstLine="0"/>
        <w:rPr>
          <w:rFonts w:hint="default" w:ascii="Times New Roman" w:hAnsi="Times New Roman" w:eastAsia="Times New Roman" w:cs="Times New Roman"/>
          <w:b w:val="0"/>
          <w:bCs w:val="0"/>
          <w:i w:val="0"/>
          <w:caps w:val="0"/>
          <w:color w:val="121212"/>
          <w:spacing w:val="0"/>
          <w:sz w:val="28"/>
          <w:szCs w:val="28"/>
          <w:highlight w:val="none"/>
          <w:shd w:val="clear" w:fill="FFFFFF"/>
        </w:rPr>
      </w:pPr>
      <w:r>
        <w:rPr>
          <w:rFonts w:hint="default" w:ascii="Times New Roman" w:hAnsi="Times New Roman" w:eastAsia="Times New Roman" w:cs="Times New Roman"/>
          <w:b w:val="0"/>
          <w:bCs w:val="0"/>
          <w:i w:val="0"/>
          <w:caps w:val="0"/>
          <w:color w:val="121212"/>
          <w:spacing w:val="0"/>
          <w:sz w:val="28"/>
          <w:szCs w:val="28"/>
          <w:highlight w:val="none"/>
          <w:shd w:val="clear" w:fill="FFFFFF"/>
        </w:rPr>
        <w:t>2.</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rPr>
      </w:pPr>
      <w:r>
        <w:rPr>
          <w:rStyle w:val="5"/>
          <w:rFonts w:hint="default" w:ascii="Times New Roman" w:hAnsi="Times New Roman" w:eastAsia="Times New Roman" w:cs="Times New Roman"/>
          <w:b w:val="0"/>
          <w:bCs w:val="0"/>
          <w:i w:val="0"/>
          <w:caps w:val="0"/>
          <w:color w:val="121212"/>
          <w:spacing w:val="0"/>
          <w:sz w:val="28"/>
          <w:szCs w:val="28"/>
          <w:highlight w:val="none"/>
          <w:vertAlign w:val="baseline"/>
        </w:rPr>
        <w:t>Interview:</w:t>
      </w:r>
      <w:r>
        <w:rPr>
          <w:rFonts w:hint="default" w:ascii="Times New Roman" w:hAnsi="Times New Roman" w:eastAsia="Times New Roman" w:cs="Times New Roman"/>
          <w:b w:val="0"/>
          <w:bCs w:val="0"/>
          <w:i w:val="0"/>
          <w:caps w:val="0"/>
          <w:color w:val="121212"/>
          <w:spacing w:val="0"/>
          <w:sz w:val="28"/>
          <w:szCs w:val="28"/>
          <w:highlight w:val="none"/>
          <w:vertAlign w:val="baseline"/>
        </w:rPr>
        <w:t>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vertAlign w:val="baseline"/>
        </w:rPr>
        <w:t>Interview as a technique of data collection is very popular and extensively used in every field of social research. The interview is, in a sense, an oral questionnaire. Instead of writing the response, the interviewee or subject gives the needed information verbally in a face-to-face relationship. The dynamics of interviewing, however, involves much more than an oral questionnaire.</w:t>
      </w:r>
      <w:r>
        <w:rPr>
          <w:rFonts w:hint="default" w:ascii="Times New Roman" w:hAnsi="Times New Roman" w:eastAsia="Times New Roman" w:cs="Times New Roman"/>
          <w:b w:val="0"/>
          <w:bCs w:val="0"/>
          <w:i w:val="0"/>
          <w:caps w:val="0"/>
          <w:color w:val="121212"/>
          <w:spacing w:val="0"/>
          <w:sz w:val="28"/>
          <w:szCs w:val="28"/>
          <w:highlight w:val="none"/>
          <w:vertAlign w:val="baseline"/>
        </w:rPr>
        <w:t>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 xml:space="preserve">Interview is relatively </w:t>
      </w:r>
      <w:r>
        <w:rPr>
          <w:rFonts w:hint="default" w:eastAsia="Times New Roman" w:cs="Times New Roman"/>
          <w:b w:val="0"/>
          <w:bCs w:val="0"/>
          <w:i w:val="0"/>
          <w:caps w:val="0"/>
          <w:color w:val="121212"/>
          <w:spacing w:val="0"/>
          <w:sz w:val="28"/>
          <w:szCs w:val="28"/>
          <w:highlight w:val="none"/>
          <w:vertAlign w:val="baseline"/>
        </w:rPr>
        <w:t xml:space="preserve">a </w:t>
      </w:r>
      <w:r>
        <w:rPr>
          <w:rFonts w:hint="default" w:ascii="Times New Roman" w:hAnsi="Times New Roman" w:eastAsia="Times New Roman" w:cs="Times New Roman"/>
          <w:b w:val="0"/>
          <w:bCs w:val="0"/>
          <w:i w:val="0"/>
          <w:caps w:val="0"/>
          <w:color w:val="121212"/>
          <w:spacing w:val="0"/>
          <w:sz w:val="28"/>
          <w:szCs w:val="28"/>
          <w:highlight w:val="none"/>
          <w:vertAlign w:val="baseline"/>
        </w:rPr>
        <w:t xml:space="preserve">more flexible tool than any written inquiry form and permits explanation, adjustment and variation according to the situation. The observational methods, as we know, are restricted mostly to non-verbal acts. So these are understandably not so effective in giving information about person’s past and private </w:t>
      </w:r>
      <w:r>
        <w:rPr>
          <w:rFonts w:hint="default" w:ascii="Times New Roman" w:hAnsi="Times New Roman" w:eastAsia="Times New Roman" w:cs="Times New Roman"/>
          <w:b w:val="0"/>
          <w:bCs w:val="0"/>
          <w:i w:val="0"/>
          <w:caps w:val="0"/>
          <w:color w:val="121212"/>
          <w:spacing w:val="0"/>
          <w:sz w:val="28"/>
          <w:szCs w:val="28"/>
          <w:highlight w:val="none"/>
          <w:vertAlign w:val="baseline"/>
        </w:rPr>
        <w:t>behavior</w:t>
      </w:r>
      <w:r>
        <w:rPr>
          <w:rFonts w:hint="default" w:ascii="Times New Roman" w:hAnsi="Times New Roman" w:eastAsia="Times New Roman" w:cs="Times New Roman"/>
          <w:b w:val="0"/>
          <w:bCs w:val="0"/>
          <w:i w:val="0"/>
          <w:caps w:val="0"/>
          <w:color w:val="121212"/>
          <w:spacing w:val="0"/>
          <w:sz w:val="28"/>
          <w:szCs w:val="28"/>
          <w:highlight w:val="none"/>
          <w:vertAlign w:val="baseline"/>
        </w:rPr>
        <w:t>, future actions, attitudes, perceptions, faiths, beliefs thought processes, motivations etc.</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 xml:space="preserve">Advantages </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It provides flexibility to the interviewers</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The interview has a better response rate than mailed questions, and the people who cannot read and write can also answer the questions.</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The interviewer can judge the non-verbal behavior of the respondent.</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The interviewer can decide the place for an interview in a private and silent place, unlike the ones conducted through emails which can have a completely different environment.</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The interviewer can control over the order of the question, as in the questionnaire, and can judge the spontaneity of the respondent as well.</w:t>
      </w:r>
    </w:p>
    <w:p>
      <w:pPr>
        <w:widowControl/>
        <w:numPr>
          <w:numId w:val="0"/>
        </w:numPr>
        <w:spacing w:beforeAutospacing="1" w:after="0" w:afterAutospacing="1"/>
        <w:ind w:left="720" w:leftChars="0"/>
        <w:rPr>
          <w:rFonts w:hint="default" w:ascii="Times New Roman" w:hAnsi="Times New Roman" w:eastAsia="Times New Roman" w:cs="Times New Roman"/>
          <w:b w:val="0"/>
          <w:bCs w:val="0"/>
          <w:i w:val="0"/>
          <w:caps w:val="0"/>
          <w:color w:val="121212"/>
          <w:spacing w:val="0"/>
          <w:sz w:val="28"/>
          <w:szCs w:val="28"/>
          <w:highlight w:val="none"/>
          <w:bdr w:val="none" w:color="auto" w:sz="0" w:space="0"/>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 xml:space="preserve">Disadvantages </w:t>
      </w:r>
    </w:p>
    <w:p>
      <w:pPr>
        <w:widowControl/>
        <w:numPr>
          <w:numId w:val="0"/>
        </w:numPr>
        <w:spacing w:beforeAutospacing="1" w:after="0" w:afterAutospacing="1"/>
        <w:ind w:left="720" w:leftChars="0"/>
        <w:rPr>
          <w:rFonts w:hint="default" w:ascii="Times New Roman" w:hAnsi="Times New Roman" w:eastAsia="Times New Roman" w:cs="Times New Roman"/>
          <w:b w:val="0"/>
          <w:bCs w:val="0"/>
          <w:i w:val="0"/>
          <w:caps w:val="0"/>
          <w:color w:val="121212"/>
          <w:spacing w:val="0"/>
          <w:sz w:val="28"/>
          <w:szCs w:val="28"/>
          <w:highlight w:val="none"/>
          <w:bdr w:val="none" w:color="auto" w:sz="0" w:space="0"/>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1. Conducting interview studies can be very costly as well as very time-consuming.</w:t>
      </w:r>
    </w:p>
    <w:p>
      <w:pPr>
        <w:widowControl/>
        <w:numPr>
          <w:numId w:val="0"/>
        </w:numPr>
        <w:spacing w:beforeAutospacing="1" w:after="0" w:afterAutospacing="1"/>
        <w:ind w:left="720" w:leftChars="0"/>
        <w:rPr>
          <w:rFonts w:hint="default" w:ascii="Times New Roman" w:hAnsi="Times New Roman" w:eastAsia="Times New Roman" w:cs="Times New Roman"/>
          <w:b w:val="0"/>
          <w:bCs w:val="0"/>
          <w:i w:val="0"/>
          <w:caps w:val="0"/>
          <w:color w:val="121212"/>
          <w:spacing w:val="0"/>
          <w:sz w:val="28"/>
          <w:szCs w:val="28"/>
          <w:highlight w:val="none"/>
          <w:bdr w:val="none" w:color="auto" w:sz="0" w:space="0"/>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2. An interview can cause biases. For example, the respondent’s answers can be affected by his reaction to the interviewer’s race, class, age or physical appearance.</w:t>
      </w:r>
    </w:p>
    <w:p>
      <w:pPr>
        <w:widowControl/>
        <w:numPr>
          <w:numId w:val="0"/>
        </w:numPr>
        <w:spacing w:beforeAutospacing="1" w:after="0" w:afterAutospacing="1"/>
        <w:ind w:left="720" w:leftChars="0"/>
        <w:rPr>
          <w:rFonts w:hint="default" w:ascii="Times New Roman" w:hAnsi="Times New Roman" w:eastAsia="Times New Roman" w:cs="Times New Roman"/>
          <w:b w:val="0"/>
          <w:bCs w:val="0"/>
          <w:i w:val="0"/>
          <w:caps w:val="0"/>
          <w:color w:val="121212"/>
          <w:spacing w:val="0"/>
          <w:sz w:val="28"/>
          <w:szCs w:val="28"/>
          <w:highlight w:val="none"/>
          <w:bdr w:val="none" w:color="auto" w:sz="0" w:space="0"/>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3. Interview studies provide less anonymity, which is a big concern for many respondents.</w:t>
      </w:r>
    </w:p>
    <w:p>
      <w:pPr>
        <w:widowControl/>
        <w:numPr>
          <w:numId w:val="0"/>
        </w:numPr>
        <w:spacing w:beforeAutospacing="1" w:after="0" w:afterAutospacing="1"/>
        <w:ind w:left="720" w:leftChars="0"/>
        <w:rPr>
          <w:rFonts w:hint="default" w:ascii="Times New Roman" w:hAnsi="Times New Roman" w:eastAsia="Times New Roman" w:cs="Times New Roman"/>
          <w:b w:val="0"/>
          <w:bCs w:val="0"/>
          <w:i w:val="0"/>
          <w:caps w:val="0"/>
          <w:color w:val="121212"/>
          <w:spacing w:val="0"/>
          <w:sz w:val="28"/>
          <w:szCs w:val="28"/>
          <w:highlight w:val="none"/>
          <w:bdr w:val="none" w:color="auto" w:sz="0" w:space="0"/>
        </w:rPr>
      </w:pPr>
      <w:r>
        <w:rPr>
          <w:rFonts w:hint="default" w:ascii="Times New Roman" w:hAnsi="Times New Roman" w:eastAsia="Times New Roman" w:cs="Times New Roman"/>
          <w:b w:val="0"/>
          <w:bCs w:val="0"/>
          <w:i w:val="0"/>
          <w:caps w:val="0"/>
          <w:color w:val="121212"/>
          <w:spacing w:val="0"/>
          <w:sz w:val="28"/>
          <w:szCs w:val="28"/>
          <w:highlight w:val="none"/>
          <w:bdr w:val="none" w:color="auto" w:sz="0" w:space="0"/>
        </w:rPr>
        <w:t>4. There is a lack of accessibility to respondents (unlike conducting mailed questionnaire study) since the respondents can be in around any corner of the world or country.</w:t>
      </w:r>
    </w:p>
    <w:p>
      <w:pPr>
        <w:widowControl/>
        <w:jc w:val="left"/>
        <w:rPr>
          <w:rFonts w:hint="default" w:ascii="Times New Roman" w:hAnsi="Times New Roman" w:eastAsia="Times New Roman" w:cs="Times New Roman"/>
          <w:b w:val="0"/>
          <w:bCs w:val="0"/>
          <w:color w:val="121212"/>
          <w:sz w:val="28"/>
          <w:szCs w:val="28"/>
          <w:highlight w:val="none"/>
        </w:rPr>
      </w:pP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p>
    <w:p>
      <w:pPr>
        <w:widowControl/>
        <w:jc w:val="left"/>
        <w:rPr>
          <w:rFonts w:hint="default" w:ascii="Times New Roman" w:hAnsi="Times New Roman" w:eastAsia="Times New Roman" w:cs="Times New Roman"/>
          <w:b w:val="0"/>
          <w:bCs w:val="0"/>
          <w:i w:val="0"/>
          <w:caps w:val="0"/>
          <w:color w:val="121212"/>
          <w:spacing w:val="0"/>
          <w:kern w:val="0"/>
          <w:sz w:val="28"/>
          <w:szCs w:val="28"/>
          <w:highlight w:val="none"/>
          <w:shd w:val="clear" w:fill="EDEDE7"/>
          <w:lang w:val="en-US" w:eastAsia="zh-CN" w:bidi="ar"/>
        </w:rPr>
      </w:pPr>
      <w:r>
        <w:rPr>
          <w:rStyle w:val="5"/>
          <w:rFonts w:hint="default" w:ascii="Times New Roman" w:hAnsi="Times New Roman" w:eastAsia="Times New Roman" w:cs="Times New Roman"/>
          <w:b w:val="0"/>
          <w:bCs w:val="0"/>
          <w:i w:val="0"/>
          <w:caps w:val="0"/>
          <w:color w:val="121212"/>
          <w:spacing w:val="0"/>
          <w:kern w:val="0"/>
          <w:sz w:val="28"/>
          <w:szCs w:val="28"/>
          <w:highlight w:val="none"/>
          <w:bdr w:val="none" w:color="auto" w:sz="0" w:space="0"/>
          <w:vertAlign w:val="baseline"/>
          <w:lang w:val="en-US" w:eastAsia="zh-CN" w:bidi="ar"/>
        </w:rPr>
        <w:t>Role-play</w:t>
      </w:r>
      <w:r>
        <w:rPr>
          <w:rFonts w:hint="default" w:ascii="Times New Roman" w:hAnsi="Times New Roman" w:eastAsia="Times New Roman" w:cs="Times New Roman"/>
          <w:b w:val="0"/>
          <w:bCs w:val="0"/>
          <w:i w:val="0"/>
          <w:caps w:val="0"/>
          <w:color w:val="121212"/>
          <w:spacing w:val="0"/>
          <w:kern w:val="0"/>
          <w:sz w:val="28"/>
          <w:szCs w:val="28"/>
          <w:highlight w:val="none"/>
          <w:shd w:val="clear" w:fill="EDEDE7"/>
          <w:lang w:val="en-US" w:eastAsia="zh-CN" w:bidi="ar"/>
        </w:rPr>
        <w:t> </w:t>
      </w:r>
    </w:p>
    <w:p>
      <w:pPr>
        <w:widowControl/>
        <w:jc w:val="left"/>
        <w:rPr>
          <w:rFonts w:hint="default" w:ascii="Times New Roman" w:hAnsi="Times New Roman" w:eastAsia="Times New Roman" w:cs="Times New Roman"/>
          <w:b w:val="0"/>
          <w:bCs w:val="0"/>
          <w:i w:val="0"/>
          <w:caps w:val="0"/>
          <w:color w:val="121212"/>
          <w:spacing w:val="0"/>
          <w:kern w:val="0"/>
          <w:sz w:val="28"/>
          <w:szCs w:val="28"/>
          <w:highlight w:val="none"/>
          <w:shd w:val="clear" w:fill="EDEDE7"/>
          <w:lang w:val="en-US" w:eastAsia="zh-CN" w:bidi="ar"/>
        </w:rPr>
      </w:pPr>
      <w:r>
        <w:rPr>
          <w:rFonts w:hint="default" w:ascii="Times New Roman" w:hAnsi="Times New Roman" w:eastAsia="Times New Roman" w:cs="Times New Roman"/>
          <w:b w:val="0"/>
          <w:bCs w:val="0"/>
          <w:i w:val="0"/>
          <w:caps w:val="0"/>
          <w:color w:val="121212"/>
          <w:spacing w:val="0"/>
          <w:kern w:val="0"/>
          <w:sz w:val="28"/>
          <w:szCs w:val="28"/>
          <w:highlight w:val="none"/>
          <w:shd w:val="clear" w:fill="EDEDE7"/>
          <w:lang w:eastAsia="zh-CN" w:bidi="ar"/>
        </w:rPr>
        <w:t>I</w:t>
      </w:r>
      <w:r>
        <w:rPr>
          <w:rFonts w:hint="default" w:ascii="Times New Roman" w:hAnsi="Times New Roman" w:eastAsia="Times New Roman" w:cs="Times New Roman"/>
          <w:b w:val="0"/>
          <w:bCs w:val="0"/>
          <w:i w:val="0"/>
          <w:caps w:val="0"/>
          <w:color w:val="121212"/>
          <w:spacing w:val="0"/>
          <w:kern w:val="0"/>
          <w:sz w:val="28"/>
          <w:szCs w:val="28"/>
          <w:highlight w:val="none"/>
          <w:shd w:val="clear" w:fill="EDEDE7"/>
          <w:lang w:val="en-US" w:eastAsia="zh-CN" w:bidi="ar"/>
        </w:rPr>
        <w:t>s a technique that allows students to explore realistic situations by interacting with other people in a managed way in order to develop experience and trial different strategies in a supported environment. Depending on the intention of the activity, participants might be playing a role similar to their own (or their likely one in the future) or could play the opposite part of the conversation or interaction. Both options provide the possibility of significant learning, with the former allowing experience to be gained and the latter encouraging the student to develop an understanding of the situation from the ‘opposite’ point of view.</w:t>
      </w:r>
    </w:p>
    <w:p>
      <w:pPr>
        <w:widowControl/>
        <w:jc w:val="left"/>
        <w:rPr>
          <w:rFonts w:hint="default" w:ascii="Times New Roman" w:hAnsi="Times New Roman" w:eastAsia="Times New Roman" w:cs="Times New Roman"/>
          <w:b w:val="0"/>
          <w:bCs w:val="0"/>
          <w:i w:val="0"/>
          <w:caps w:val="0"/>
          <w:color w:val="121212"/>
          <w:spacing w:val="0"/>
          <w:kern w:val="0"/>
          <w:sz w:val="28"/>
          <w:szCs w:val="28"/>
          <w:highlight w:val="none"/>
          <w:shd w:val="clear" w:fill="EDEDE7"/>
          <w:lang w:eastAsia="zh-CN" w:bidi="ar"/>
        </w:rPr>
      </w:pPr>
      <w:r>
        <w:rPr>
          <w:rFonts w:hint="default" w:ascii="Times New Roman" w:hAnsi="Times New Roman" w:eastAsia="Times New Roman" w:cs="Times New Roman"/>
          <w:b w:val="0"/>
          <w:bCs w:val="0"/>
          <w:i w:val="0"/>
          <w:caps w:val="0"/>
          <w:color w:val="121212"/>
          <w:spacing w:val="0"/>
          <w:kern w:val="0"/>
          <w:sz w:val="28"/>
          <w:szCs w:val="28"/>
          <w:highlight w:val="none"/>
          <w:shd w:val="clear" w:fill="EDEDE7"/>
          <w:lang w:eastAsia="zh-CN" w:bidi="ar"/>
        </w:rPr>
        <w:t xml:space="preserve">Participants are given particular roles to play in a conversation or other interaction, such as an email exchange, typical of their discipline. They may be given specific instructions on how to act or what to say, as an aggressive client or patient in denial, for example, or required to act and react in their own way depending on the requirements of the exercise.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Role-play is a very flexible teaching approach because it requires no special tools, technology or environments, for example student could work through a role-play exercise just as effectively in a lecture hall as in a seminar room. However, technology can provide significant advantages, and even new possibilities, for using the approach as a learning activity.</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 xml:space="preserve">Advantages </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1. Students immediately apply content in a relevant, real world context.</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2</w:t>
      </w:r>
      <w:r>
        <w:rPr>
          <w:rFonts w:hint="default" w:ascii="Times New Roman" w:hAnsi="Times New Roman" w:eastAsia="Times New Roman" w:cs="Times New Roman"/>
          <w:b w:val="0"/>
          <w:bCs w:val="0"/>
          <w:color w:val="121212"/>
          <w:sz w:val="28"/>
          <w:szCs w:val="28"/>
          <w:highlight w:val="none"/>
        </w:rPr>
        <w:t>. Typically students claim to remember their role in these scenarios and the ensuing discussion long after the semester ends.</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3. Students can transcend and think beyond the confines of the classroom setting.</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4. Students see the relevance of the content for handling real world situations.</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5. The instructor and students receive immediate feedback with regard to student understanding of the content.</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6. Students engage in higher order thinking and learn content in a deeper way.</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color w:val="121212"/>
          <w:sz w:val="28"/>
          <w:szCs w:val="28"/>
          <w:highlight w:val="none"/>
        </w:rPr>
      </w:pPr>
      <w:r>
        <w:rPr>
          <w:rFonts w:hint="default" w:ascii="Times New Roman" w:hAnsi="Times New Roman" w:eastAsia="Times New Roman" w:cs="Times New Roman"/>
          <w:b w:val="0"/>
          <w:bCs w:val="0"/>
          <w:color w:val="121212"/>
          <w:sz w:val="28"/>
          <w:szCs w:val="28"/>
          <w:highlight w:val="none"/>
        </w:rPr>
        <w:t>7. Instructors can create useful scenarios when setting the parameters of the role play when real scenarios or contexts might not be readily available.</w:t>
      </w:r>
    </w:p>
    <w:p>
      <w:pPr>
        <w:widowControl/>
        <w:numPr>
          <w:numId w:val="0"/>
        </w:numPr>
        <w:spacing w:beforeAutospacing="0" w:after="106" w:afterAutospacing="0"/>
        <w:ind w:left="0" w:leftChars="0" w:right="106" w:rightChars="0" w:firstLine="0" w:firstLineChars="0"/>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 xml:space="preserve">Disadvantages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1. Teachers have to do heavy preparation for setting up the background, contexts, and learning goals for the role play activities.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2. Data and background information about the role played character may need to be prepared and distributed to the students to help them with the assigned roles.</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8"/>
          <w:szCs w:val="28"/>
          <w:highlight w:val="none"/>
          <w:vertAlign w:val="baseline"/>
        </w:rPr>
      </w:pPr>
      <w:r>
        <w:rPr>
          <w:rFonts w:hint="default" w:ascii="Times New Roman" w:hAnsi="Times New Roman" w:eastAsia="Times New Roman" w:cs="Times New Roman"/>
          <w:b w:val="0"/>
          <w:bCs w:val="0"/>
          <w:i w:val="0"/>
          <w:caps w:val="0"/>
          <w:color w:val="121212"/>
          <w:spacing w:val="0"/>
          <w:sz w:val="28"/>
          <w:szCs w:val="28"/>
          <w:highlight w:val="none"/>
          <w:vertAlign w:val="baseline"/>
        </w:rPr>
        <w:t>3. It may be quite difficult to assess proficiency of the students on their role play performance.</w:t>
      </w:r>
    </w:p>
    <w:p>
      <w:pPr>
        <w:pStyle w:val="3"/>
        <w:widowControl/>
        <w:spacing w:beforeAutospacing="0" w:after="0" w:afterAutospacing="0" w:line="324" w:lineRule="atLeast"/>
        <w:ind w:left="0" w:firstLine="0"/>
        <w:rPr>
          <w:rFonts w:hint="default" w:ascii="Times New Roman" w:hAnsi="Times New Roman" w:eastAsia="Times New Roman" w:cs="Times New Roman"/>
          <w:b w:val="0"/>
          <w:bCs w:val="0"/>
          <w:i w:val="0"/>
          <w:caps w:val="0"/>
          <w:color w:val="121212"/>
          <w:spacing w:val="0"/>
          <w:sz w:val="28"/>
          <w:szCs w:val="28"/>
          <w:highlight w:val="none"/>
          <w:shd w:val="clear" w:fill="FFFFFF"/>
        </w:rPr>
      </w:pPr>
    </w:p>
    <w:p>
      <w:pPr>
        <w:pStyle w:val="3"/>
        <w:widowControl/>
        <w:pBdr>
          <w:top w:val="none" w:color="auto" w:sz="0" w:space="0"/>
        </w:pBdr>
        <w:spacing w:beforeAutospacing="0" w:after="0" w:afterAutospacing="0" w:line="16" w:lineRule="atLeast"/>
        <w:ind w:left="270" w:right="0" w:firstLine="0"/>
        <w:rPr>
          <w:rFonts w:hint="default" w:ascii="Times New Roman" w:hAnsi="Times New Roman" w:eastAsia="Times New Roman" w:cs="Times New Roman"/>
          <w:b w:val="0"/>
          <w:bCs w:val="0"/>
          <w:i w:val="0"/>
          <w:caps w:val="0"/>
          <w:color w:val="121212"/>
          <w:spacing w:val="0"/>
          <w:sz w:val="28"/>
          <w:szCs w:val="28"/>
          <w:highlight w:val="none"/>
        </w:rPr>
      </w:pPr>
    </w:p>
    <w:p>
      <w:pPr>
        <w:rPr>
          <w:rFonts w:hint="default" w:ascii="Times New Roman" w:hAnsi="Times New Roman" w:eastAsia="Times New Roman" w:cs="Times New Roman"/>
          <w:b w:val="0"/>
          <w:bCs w:val="0"/>
          <w:color w:val="121212"/>
          <w:sz w:val="28"/>
          <w:szCs w:val="28"/>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Ubuntu">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raleway">
    <w:panose1 w:val="00000000000000000000"/>
    <w:charset w:val="00"/>
    <w:family w:val="auto"/>
    <w:pitch w:val="default"/>
    <w:sig w:usb0="00000000" w:usb1="00000000" w:usb2="00000000" w:usb3="00000000" w:csb0="00000000" w:csb1="00000000"/>
  </w:font>
  <w:font w:name="Lucida Sans Unicode">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1810"/>
    <w:multiLevelType w:val="multilevel"/>
    <w:tmpl w:val="5EAC181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2020-05-01T02:57:06Z</dcterms:created>
  <dc:creator>iPhone</dc:creator>
  <cp:lastModifiedBy>iPhone</cp:lastModifiedBy>
  <dcterms:modified xsi:type="dcterms:W3CDTF">2020-05-01T14:06:44Z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