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AA" w:rsidRDefault="00003EAA">
      <w:pPr>
        <w:pStyle w:val="NormalWeb"/>
        <w:spacing w:before="0" w:beforeAutospacing="0" w:after="200" w:afterAutospacing="0" w:line="276" w:lineRule="auto"/>
      </w:pPr>
      <w:proofErr w:type="spellStart"/>
      <w:r>
        <w:rPr>
          <w:rFonts w:ascii="Calibri" w:hAnsi="Calibri"/>
          <w:sz w:val="22"/>
          <w:szCs w:val="22"/>
        </w:rPr>
        <w:t>NAME:Animashaun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Adebisi</w:t>
      </w:r>
      <w:proofErr w:type="spellEnd"/>
      <w:r>
        <w:rPr>
          <w:rFonts w:ascii="Calibri" w:hAnsi="Calibri"/>
          <w:sz w:val="22"/>
          <w:szCs w:val="22"/>
        </w:rPr>
        <w:t xml:space="preserve"> Q.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MATRIC NO:17/MHS06/069.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DEPARTMENT:MLS.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Protein Synthesis is an essential requirement for any </w:t>
      </w:r>
      <w:proofErr w:type="spellStart"/>
      <w:r>
        <w:rPr>
          <w:rFonts w:ascii="Calibri" w:hAnsi="Calibri"/>
          <w:sz w:val="22"/>
          <w:szCs w:val="22"/>
        </w:rPr>
        <w:t>cell.It</w:t>
      </w:r>
      <w:proofErr w:type="spellEnd"/>
      <w:r>
        <w:rPr>
          <w:rFonts w:ascii="Calibri" w:hAnsi="Calibri"/>
          <w:sz w:val="22"/>
          <w:szCs w:val="22"/>
        </w:rPr>
        <w:t xml:space="preserve"> involves the use of ribosomes which translates the mRNA code to a functioning protein.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In </w:t>
      </w:r>
      <w:proofErr w:type="spellStart"/>
      <w:r>
        <w:rPr>
          <w:rFonts w:ascii="Calibri" w:hAnsi="Calibri"/>
          <w:sz w:val="22"/>
          <w:szCs w:val="22"/>
        </w:rPr>
        <w:t>prokaryotes,such</w:t>
      </w:r>
      <w:proofErr w:type="spellEnd"/>
      <w:r>
        <w:rPr>
          <w:rFonts w:ascii="Calibri" w:hAnsi="Calibri"/>
          <w:sz w:val="22"/>
          <w:szCs w:val="22"/>
        </w:rPr>
        <w:t xml:space="preserve"> as bacteria; protein synthesis occurs during ribosome transfer RNA(</w:t>
      </w:r>
      <w:proofErr w:type="spellStart"/>
      <w:r>
        <w:rPr>
          <w:rFonts w:ascii="Calibri" w:hAnsi="Calibri"/>
          <w:sz w:val="22"/>
          <w:szCs w:val="22"/>
        </w:rPr>
        <w:t>tRNA</w:t>
      </w:r>
      <w:proofErr w:type="spellEnd"/>
      <w:r>
        <w:rPr>
          <w:rFonts w:ascii="Calibri" w:hAnsi="Calibri"/>
          <w:sz w:val="22"/>
          <w:szCs w:val="22"/>
        </w:rPr>
        <w:t xml:space="preserve">) which is charged with an amino acid that binds to the mRNA </w:t>
      </w:r>
      <w:proofErr w:type="spellStart"/>
      <w:r>
        <w:rPr>
          <w:rFonts w:ascii="Calibri" w:hAnsi="Calibri"/>
          <w:sz w:val="22"/>
          <w:szCs w:val="22"/>
        </w:rPr>
        <w:t>template.The</w:t>
      </w:r>
      <w:proofErr w:type="spellEnd"/>
      <w:r>
        <w:rPr>
          <w:rFonts w:ascii="Calibri" w:hAnsi="Calibri"/>
          <w:sz w:val="22"/>
          <w:szCs w:val="22"/>
        </w:rPr>
        <w:t xml:space="preserve"> subsequent binding of each </w:t>
      </w:r>
      <w:proofErr w:type="spellStart"/>
      <w:r>
        <w:rPr>
          <w:rFonts w:ascii="Calibri" w:hAnsi="Calibri"/>
          <w:sz w:val="22"/>
          <w:szCs w:val="22"/>
        </w:rPr>
        <w:t>tRNA</w:t>
      </w:r>
      <w:proofErr w:type="spellEnd"/>
      <w:r>
        <w:rPr>
          <w:rFonts w:ascii="Calibri" w:hAnsi="Calibri"/>
          <w:sz w:val="22"/>
          <w:szCs w:val="22"/>
        </w:rPr>
        <w:t xml:space="preserve"> charged with an amino acid takes part in the formation and elongation of cellular amino acid.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TETRACYCLINES ANTIBIOTICS.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Tetracycline was discovered in the 1940’s and they are broad spectrum agents exhibiting activity against a wide range of microorganisms including the gram negative and gram positive bacteria(such as </w:t>
      </w:r>
      <w:proofErr w:type="spellStart"/>
      <w:r>
        <w:rPr>
          <w:rFonts w:ascii="Calibri" w:hAnsi="Calibri"/>
          <w:sz w:val="22"/>
          <w:szCs w:val="22"/>
        </w:rPr>
        <w:t>Chlamydiae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Mycoplasmas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 xml:space="preserve">).They are inexpensive and they have been used in the prevention and treatments of many human infections. The first tetracycline resistant bacterium </w:t>
      </w:r>
      <w:proofErr w:type="spellStart"/>
      <w:r>
        <w:rPr>
          <w:rFonts w:ascii="Calibri" w:hAnsi="Calibri"/>
          <w:sz w:val="22"/>
          <w:szCs w:val="22"/>
        </w:rPr>
        <w:t>Shigella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dysenteriae</w:t>
      </w:r>
      <w:proofErr w:type="spellEnd"/>
      <w:r>
        <w:rPr>
          <w:rFonts w:ascii="Calibri" w:hAnsi="Calibri"/>
          <w:sz w:val="22"/>
          <w:szCs w:val="22"/>
        </w:rPr>
        <w:t xml:space="preserve"> was isolated in 1953.Its resistance now occurs in increasing pathogenic opportunistic and commensal bacteria.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    Mechanism Of Action.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They inhibit the 30s ribosomal subunit which hinders the binding of the aminoacyl-RNA to the acceptor site on the mRNA ribosome complex which results in the inability of the cell to grow and further replicate in the host </w:t>
      </w:r>
      <w:proofErr w:type="spellStart"/>
      <w:r>
        <w:rPr>
          <w:rFonts w:ascii="Calibri" w:hAnsi="Calibri"/>
          <w:sz w:val="22"/>
          <w:szCs w:val="22"/>
        </w:rPr>
        <w:t>cell.Tetracyclines</w:t>
      </w:r>
      <w:proofErr w:type="spellEnd"/>
      <w:r>
        <w:rPr>
          <w:rFonts w:ascii="Calibri" w:hAnsi="Calibri"/>
          <w:sz w:val="22"/>
          <w:szCs w:val="22"/>
        </w:rPr>
        <w:t xml:space="preserve"> are bacteriostatic in action.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    Indication Of Use.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It is a class of broad spectrum of antibiotics that is used in the </w:t>
      </w:r>
      <w:proofErr w:type="spellStart"/>
      <w:r>
        <w:rPr>
          <w:rFonts w:ascii="Calibri" w:hAnsi="Calibri"/>
          <w:sz w:val="22"/>
          <w:szCs w:val="22"/>
        </w:rPr>
        <w:t>management,treatment</w:t>
      </w:r>
      <w:proofErr w:type="spellEnd"/>
      <w:r>
        <w:rPr>
          <w:rFonts w:ascii="Calibri" w:hAnsi="Calibri"/>
          <w:sz w:val="22"/>
          <w:szCs w:val="22"/>
        </w:rPr>
        <w:t xml:space="preserve"> and prevention of many infections.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Naturally occurring drugs in this class includes </w:t>
      </w:r>
      <w:proofErr w:type="spellStart"/>
      <w:r>
        <w:rPr>
          <w:rFonts w:ascii="Calibri" w:hAnsi="Calibri"/>
          <w:sz w:val="22"/>
          <w:szCs w:val="22"/>
        </w:rPr>
        <w:t>tetracycline,chlortetracycline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proofErr w:type="spellStart"/>
      <w:r>
        <w:rPr>
          <w:rFonts w:ascii="Calibri" w:hAnsi="Calibri"/>
          <w:sz w:val="22"/>
          <w:szCs w:val="22"/>
        </w:rPr>
        <w:t>oxytetracycline,demeclocycline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lastRenderedPageBreak/>
        <w:t xml:space="preserve">Semi-synthetic </w:t>
      </w:r>
      <w:proofErr w:type="spellStart"/>
      <w:r>
        <w:rPr>
          <w:rFonts w:ascii="Calibri" w:hAnsi="Calibri"/>
          <w:sz w:val="22"/>
          <w:szCs w:val="22"/>
        </w:rPr>
        <w:t>tetracyclines</w:t>
      </w:r>
      <w:proofErr w:type="spellEnd"/>
      <w:r>
        <w:rPr>
          <w:rFonts w:ascii="Calibri" w:hAnsi="Calibri"/>
          <w:sz w:val="22"/>
          <w:szCs w:val="22"/>
        </w:rPr>
        <w:t xml:space="preserve"> are </w:t>
      </w:r>
      <w:proofErr w:type="spellStart"/>
      <w:r>
        <w:rPr>
          <w:rFonts w:ascii="Calibri" w:hAnsi="Calibri"/>
          <w:sz w:val="22"/>
          <w:szCs w:val="22"/>
        </w:rPr>
        <w:t>lymecycline,methacycline,minocycline,doxycycline</w:t>
      </w:r>
      <w:proofErr w:type="spellEnd"/>
      <w:r>
        <w:rPr>
          <w:rFonts w:ascii="Calibri" w:hAnsi="Calibri"/>
          <w:sz w:val="22"/>
          <w:szCs w:val="22"/>
        </w:rPr>
        <w:t xml:space="preserve"> etc.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There is one </w:t>
      </w:r>
      <w:proofErr w:type="spellStart"/>
      <w:r>
        <w:rPr>
          <w:rFonts w:ascii="Calibri" w:hAnsi="Calibri"/>
          <w:sz w:val="22"/>
          <w:szCs w:val="22"/>
        </w:rPr>
        <w:t>glycylcycline</w:t>
      </w:r>
      <w:proofErr w:type="spellEnd"/>
      <w:r>
        <w:rPr>
          <w:rFonts w:ascii="Calibri" w:hAnsi="Calibri"/>
          <w:sz w:val="22"/>
          <w:szCs w:val="22"/>
        </w:rPr>
        <w:t xml:space="preserve"> subclass agent named </w:t>
      </w:r>
      <w:proofErr w:type="spellStart"/>
      <w:r>
        <w:rPr>
          <w:rFonts w:ascii="Calibri" w:hAnsi="Calibri"/>
          <w:sz w:val="22"/>
          <w:szCs w:val="22"/>
        </w:rPr>
        <w:t>tigecycline.The</w:t>
      </w:r>
      <w:proofErr w:type="spellEnd"/>
      <w:r>
        <w:rPr>
          <w:rFonts w:ascii="Calibri" w:hAnsi="Calibri"/>
          <w:sz w:val="22"/>
          <w:szCs w:val="22"/>
        </w:rPr>
        <w:t xml:space="preserve"> other classes of newer tetracycline include </w:t>
      </w:r>
      <w:proofErr w:type="spellStart"/>
      <w:r>
        <w:rPr>
          <w:rFonts w:ascii="Calibri" w:hAnsi="Calibri"/>
          <w:sz w:val="22"/>
          <w:szCs w:val="22"/>
        </w:rPr>
        <w:t>ervacycline</w:t>
      </w:r>
      <w:proofErr w:type="spellEnd"/>
      <w:r>
        <w:rPr>
          <w:rFonts w:ascii="Calibri" w:hAnsi="Calibri"/>
          <w:sz w:val="22"/>
          <w:szCs w:val="22"/>
        </w:rPr>
        <w:t xml:space="preserve"> etc.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These drugs are used in the treatment of;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Rickettsiae</w:t>
      </w:r>
      <w:proofErr w:type="spellEnd"/>
      <w:r>
        <w:rPr>
          <w:rFonts w:ascii="Calibri" w:hAnsi="Calibri"/>
          <w:sz w:val="22"/>
          <w:szCs w:val="22"/>
        </w:rPr>
        <w:t xml:space="preserve"> infections.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Amebiasis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Actinomycosis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-Brucellosis.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-Pelvic inflammatory disease.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Syphillis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-Travellers </w:t>
      </w:r>
      <w:proofErr w:type="spellStart"/>
      <w:r>
        <w:rPr>
          <w:rFonts w:ascii="Calibri" w:hAnsi="Calibri"/>
          <w:sz w:val="22"/>
          <w:szCs w:val="22"/>
        </w:rPr>
        <w:t>diarrhea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-Early Lyme disease.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-Whipple disease.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-ETC.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     They also cover for Mycobacterium </w:t>
      </w:r>
      <w:proofErr w:type="spellStart"/>
      <w:r>
        <w:rPr>
          <w:rFonts w:ascii="Calibri" w:hAnsi="Calibri"/>
          <w:sz w:val="22"/>
          <w:szCs w:val="22"/>
        </w:rPr>
        <w:t>marinum,Mycoplasma</w:t>
      </w:r>
      <w:proofErr w:type="spellEnd"/>
      <w:r>
        <w:rPr>
          <w:rFonts w:ascii="Calibri" w:hAnsi="Calibri"/>
          <w:sz w:val="22"/>
          <w:szCs w:val="22"/>
        </w:rPr>
        <w:t xml:space="preserve"> pneumonia,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Staphylococcus </w:t>
      </w:r>
      <w:proofErr w:type="spellStart"/>
      <w:r>
        <w:rPr>
          <w:rFonts w:ascii="Calibri" w:hAnsi="Calibri"/>
          <w:sz w:val="22"/>
          <w:szCs w:val="22"/>
        </w:rPr>
        <w:t>aureaus</w:t>
      </w:r>
      <w:proofErr w:type="spellEnd"/>
      <w:r>
        <w:rPr>
          <w:rFonts w:ascii="Calibri" w:hAnsi="Calibri"/>
          <w:sz w:val="22"/>
          <w:szCs w:val="22"/>
        </w:rPr>
        <w:t xml:space="preserve">(including methicillin resistant S. </w:t>
      </w:r>
      <w:proofErr w:type="spellStart"/>
      <w:r>
        <w:rPr>
          <w:rFonts w:ascii="Calibri" w:hAnsi="Calibri"/>
          <w:sz w:val="22"/>
          <w:szCs w:val="22"/>
        </w:rPr>
        <w:t>aureaus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Other indications of tetracycline includes rheumatoid </w:t>
      </w:r>
      <w:proofErr w:type="spellStart"/>
      <w:r>
        <w:rPr>
          <w:rFonts w:ascii="Calibri" w:hAnsi="Calibri"/>
          <w:sz w:val="22"/>
          <w:szCs w:val="22"/>
        </w:rPr>
        <w:t>arthritis,cancer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cardiovascular disease.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   Toxicity.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High dosage of tetracycline can result to  life failure(liver </w:t>
      </w:r>
      <w:proofErr w:type="spellStart"/>
      <w:r>
        <w:rPr>
          <w:rFonts w:ascii="Calibri" w:hAnsi="Calibri"/>
          <w:sz w:val="22"/>
          <w:szCs w:val="22"/>
        </w:rPr>
        <w:t>damage,kidney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damage,phototoxicity,superinfection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 xml:space="preserve">) and then </w:t>
      </w:r>
      <w:proofErr w:type="spellStart"/>
      <w:r>
        <w:rPr>
          <w:rFonts w:ascii="Calibri" w:hAnsi="Calibri"/>
          <w:sz w:val="22"/>
          <w:szCs w:val="22"/>
        </w:rPr>
        <w:t>death.They</w:t>
      </w:r>
      <w:proofErr w:type="spellEnd"/>
      <w:r>
        <w:rPr>
          <w:rFonts w:ascii="Calibri" w:hAnsi="Calibri"/>
          <w:sz w:val="22"/>
          <w:szCs w:val="22"/>
        </w:rPr>
        <w:t xml:space="preserve"> are not </w:t>
      </w:r>
      <w:proofErr w:type="spellStart"/>
      <w:r>
        <w:rPr>
          <w:rFonts w:ascii="Calibri" w:hAnsi="Calibri"/>
          <w:sz w:val="22"/>
          <w:szCs w:val="22"/>
        </w:rPr>
        <w:t>dialyzable,thus</w:t>
      </w:r>
      <w:proofErr w:type="spellEnd"/>
      <w:r>
        <w:rPr>
          <w:rFonts w:ascii="Calibri" w:hAnsi="Calibri"/>
          <w:sz w:val="22"/>
          <w:szCs w:val="22"/>
        </w:rPr>
        <w:t xml:space="preserve"> support measures are initiated and the medication is discontinued.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   Adverse Effects.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 xml:space="preserve">-They commonly cause Gastrointestinal distress including abdominal </w:t>
      </w:r>
      <w:proofErr w:type="spellStart"/>
      <w:r>
        <w:rPr>
          <w:rFonts w:ascii="Calibri" w:hAnsi="Calibri"/>
          <w:sz w:val="22"/>
          <w:szCs w:val="22"/>
        </w:rPr>
        <w:t>discomfort,epigastric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pain,nausea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vomiting and anorexia.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lastRenderedPageBreak/>
        <w:t xml:space="preserve">-While taking tetracycline there may be discoloration of the teeth and inhibition of the bone growth in children 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-Some patient may experience photosensitivity which can manifest ad red rash or skin blisters.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Note:</w:t>
      </w:r>
    </w:p>
    <w:p w:rsidR="00003EAA" w:rsidRDefault="00003EAA">
      <w:pPr>
        <w:pStyle w:val="NormalWeb"/>
        <w:spacing w:before="0" w:beforeAutospacing="0" w:after="200" w:afterAutospacing="0" w:line="276" w:lineRule="auto"/>
      </w:pPr>
      <w:r>
        <w:rPr>
          <w:rFonts w:ascii="Calibri" w:hAnsi="Calibri"/>
          <w:sz w:val="22"/>
          <w:szCs w:val="22"/>
        </w:rPr>
        <w:t>Photosensitivity can be lessened through avoidance of direct sunlight and tanning equipment or by wearing sunscreen and protective clothes outdoors.</w:t>
      </w:r>
    </w:p>
    <w:p w:rsidR="00003EAA" w:rsidRDefault="00003EAA">
      <w:r>
        <w:rPr>
          <w:rFonts w:ascii="Calibri" w:eastAsia="Times New Roman" w:hAnsi="Calibri"/>
        </w:rPr>
        <w:t>-</w:t>
      </w:r>
      <w:proofErr w:type="spellStart"/>
      <w:r>
        <w:rPr>
          <w:rFonts w:ascii="Calibri" w:eastAsia="Times New Roman" w:hAnsi="Calibri"/>
        </w:rPr>
        <w:t>Rarely,it</w:t>
      </w:r>
      <w:proofErr w:type="spellEnd"/>
      <w:r>
        <w:rPr>
          <w:rFonts w:ascii="Calibri" w:eastAsia="Times New Roman" w:hAnsi="Calibri"/>
        </w:rPr>
        <w:t xml:space="preserve"> can cause hepatotoxicity and may make worse pre-exciting renal failure.</w:t>
      </w:r>
    </w:p>
    <w:sectPr w:rsidR="00003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AA"/>
    <w:rsid w:val="000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7750C2-62DB-624D-BB80-451A7C2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oladapo</dc:creator>
  <cp:keywords/>
  <dc:description/>
  <cp:lastModifiedBy>emmanuel oladapo</cp:lastModifiedBy>
  <cp:revision>2</cp:revision>
  <dcterms:created xsi:type="dcterms:W3CDTF">2020-05-01T16:47:00Z</dcterms:created>
  <dcterms:modified xsi:type="dcterms:W3CDTF">2020-05-01T16:47:00Z</dcterms:modified>
</cp:coreProperties>
</file>