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A37E24" w:rsidRDefault="00547B62" w:rsidP="00547B62">
      <w:pPr>
        <w:rPr>
          <w:rFonts w:cstheme="minorHAnsi"/>
          <w:sz w:val="24"/>
          <w:szCs w:val="24"/>
        </w:rPr>
      </w:pPr>
      <w:r w:rsidRPr="00A37E24">
        <w:rPr>
          <w:rFonts w:cstheme="minorHAnsi"/>
          <w:b/>
          <w:sz w:val="24"/>
          <w:szCs w:val="24"/>
          <w:u w:val="single"/>
        </w:rPr>
        <w:t>17/MHS06/059</w:t>
      </w:r>
      <w:r w:rsidRPr="00A37E24">
        <w:rPr>
          <w:rFonts w:cstheme="minorHAnsi"/>
          <w:sz w:val="24"/>
          <w:szCs w:val="24"/>
        </w:rPr>
        <w:br/>
      </w:r>
      <w:r w:rsidRPr="00A37E24">
        <w:rPr>
          <w:rFonts w:cstheme="minorHAnsi"/>
          <w:b/>
          <w:sz w:val="24"/>
          <w:szCs w:val="24"/>
          <w:u w:val="single"/>
        </w:rPr>
        <w:t>PHA 302</w:t>
      </w:r>
      <w:r w:rsidRPr="00A37E24">
        <w:rPr>
          <w:rFonts w:cstheme="minorHAnsi"/>
          <w:b/>
          <w:sz w:val="24"/>
          <w:szCs w:val="24"/>
          <w:u w:val="single"/>
        </w:rPr>
        <w:br/>
      </w:r>
      <w:r w:rsidRPr="00A37E24">
        <w:rPr>
          <w:rFonts w:cstheme="minorHAnsi"/>
          <w:b/>
          <w:sz w:val="24"/>
          <w:szCs w:val="24"/>
          <w:u w:val="single"/>
          <w:shd w:val="clear" w:color="auto" w:fill="FFFFFF"/>
        </w:rPr>
        <w:t>Introductory Pharmacology and Toxicology II</w:t>
      </w:r>
      <w:r w:rsidRPr="00A37E24">
        <w:rPr>
          <w:rFonts w:cstheme="minorHAnsi"/>
          <w:b/>
          <w:sz w:val="24"/>
          <w:szCs w:val="24"/>
          <w:u w:val="single"/>
          <w:shd w:val="clear" w:color="auto" w:fill="FFFFFF"/>
        </w:rPr>
        <w:br/>
      </w:r>
      <w:r w:rsidRPr="00A37E24">
        <w:rPr>
          <w:rFonts w:cstheme="minorHAnsi"/>
          <w:b/>
          <w:sz w:val="24"/>
          <w:szCs w:val="24"/>
          <w:u w:val="single"/>
          <w:shd w:val="clear" w:color="auto" w:fill="FFFFFF"/>
        </w:rPr>
        <w:t>BACTE</w:t>
      </w:r>
      <w:r w:rsidRPr="00A37E24">
        <w:rPr>
          <w:rFonts w:cstheme="minorHAnsi"/>
          <w:b/>
          <w:sz w:val="24"/>
          <w:szCs w:val="24"/>
          <w:u w:val="single"/>
          <w:shd w:val="clear" w:color="auto" w:fill="FFFFFF"/>
        </w:rPr>
        <w:t>RIAL PROTEIN SYNTHESIS INHIBITON</w:t>
      </w:r>
      <w:r w:rsidRPr="00A37E24">
        <w:rPr>
          <w:rFonts w:cstheme="minorHAnsi"/>
          <w:sz w:val="24"/>
          <w:szCs w:val="24"/>
          <w:u w:val="single"/>
          <w:shd w:val="clear" w:color="auto" w:fill="FFFFFF"/>
        </w:rPr>
        <w:t xml:space="preserve"> </w:t>
      </w:r>
      <w:r w:rsidRPr="00A37E24">
        <w:rPr>
          <w:rFonts w:cstheme="minorHAnsi"/>
          <w:sz w:val="24"/>
          <w:szCs w:val="24"/>
          <w:u w:val="single"/>
          <w:shd w:val="clear" w:color="auto" w:fill="FFFFFF"/>
        </w:rPr>
        <w:br/>
      </w:r>
      <w:r w:rsidRPr="00A37E24">
        <w:rPr>
          <w:rFonts w:cstheme="minorHAnsi"/>
          <w:sz w:val="24"/>
          <w:szCs w:val="24"/>
          <w:u w:val="single"/>
          <w:shd w:val="clear" w:color="auto" w:fill="FFFFFF"/>
        </w:rPr>
        <w:br/>
        <w:t>ERYTHROMYCIN</w:t>
      </w:r>
      <w:r w:rsidRPr="00A37E24">
        <w:rPr>
          <w:rFonts w:cstheme="minorHAnsi"/>
          <w:sz w:val="24"/>
          <w:szCs w:val="24"/>
          <w:u w:val="single"/>
          <w:shd w:val="clear" w:color="auto" w:fill="FFFFFF"/>
        </w:rPr>
        <w:br/>
        <w:t>MECHANISM OF ACTION</w:t>
      </w:r>
      <w:r w:rsidRPr="00A37E24">
        <w:rPr>
          <w:rFonts w:cstheme="minorHAnsi"/>
          <w:sz w:val="24"/>
          <w:szCs w:val="24"/>
          <w:shd w:val="clear" w:color="auto" w:fill="FFFFFF"/>
        </w:rPr>
        <w:t xml:space="preserve">; </w:t>
      </w:r>
      <w:r w:rsidRPr="00A37E24">
        <w:rPr>
          <w:rFonts w:cstheme="minorHAnsi"/>
          <w:sz w:val="24"/>
          <w:szCs w:val="24"/>
          <w:shd w:val="clear" w:color="auto" w:fill="FFFFFF"/>
        </w:rPr>
        <w:br/>
      </w:r>
      <w:r w:rsidRPr="00A37E24">
        <w:rPr>
          <w:rFonts w:cstheme="minorHAnsi"/>
          <w:sz w:val="24"/>
          <w:szCs w:val="24"/>
        </w:rPr>
        <w:t xml:space="preserve">It acts by </w:t>
      </w:r>
      <w:r w:rsidRPr="00A37E24">
        <w:rPr>
          <w:rFonts w:cstheme="minorHAnsi"/>
          <w:sz w:val="24"/>
          <w:szCs w:val="24"/>
          <w:lang w:val="en-US"/>
        </w:rPr>
        <w:t>p</w:t>
      </w:r>
      <w:r w:rsidR="00A37E24" w:rsidRPr="00A37E24">
        <w:rPr>
          <w:rFonts w:cstheme="minorHAnsi"/>
          <w:sz w:val="24"/>
          <w:szCs w:val="24"/>
          <w:lang w:val="en-US"/>
        </w:rPr>
        <w:t>revent</w:t>
      </w:r>
      <w:r w:rsidRPr="00A37E24">
        <w:rPr>
          <w:rFonts w:cstheme="minorHAnsi"/>
          <w:sz w:val="24"/>
          <w:szCs w:val="24"/>
          <w:lang w:val="en-US"/>
        </w:rPr>
        <w:t xml:space="preserve">ing the transfer of the growing or elongation of </w:t>
      </w:r>
      <w:r w:rsidR="00A37E24" w:rsidRPr="00A37E24">
        <w:rPr>
          <w:rFonts w:cstheme="minorHAnsi"/>
          <w:sz w:val="24"/>
          <w:szCs w:val="24"/>
          <w:lang w:val="en-US"/>
        </w:rPr>
        <w:t>polypep</w:t>
      </w:r>
      <w:r w:rsidRPr="00A37E24">
        <w:rPr>
          <w:rFonts w:cstheme="minorHAnsi"/>
          <w:sz w:val="24"/>
          <w:szCs w:val="24"/>
          <w:lang w:val="en-US"/>
        </w:rPr>
        <w:t>tide chain within the 50S site t</w:t>
      </w:r>
      <w:r w:rsidR="00A37E24" w:rsidRPr="00A37E24">
        <w:rPr>
          <w:rFonts w:cstheme="minorHAnsi"/>
          <w:sz w:val="24"/>
          <w:szCs w:val="24"/>
          <w:lang w:val="en-US"/>
        </w:rPr>
        <w:t>o a new charged tRNA, so the micro-organi</w:t>
      </w:r>
      <w:r w:rsidR="00A37E24" w:rsidRPr="00A37E24">
        <w:rPr>
          <w:rFonts w:cstheme="minorHAnsi"/>
          <w:sz w:val="24"/>
          <w:szCs w:val="24"/>
          <w:lang w:val="en-US"/>
        </w:rPr>
        <w:t>sms cannot bind to the ribosome so, stops protein synthesis.</w:t>
      </w:r>
    </w:p>
    <w:p w:rsidR="00547B62" w:rsidRPr="00A37E24" w:rsidRDefault="00547B62" w:rsidP="00A37E24">
      <w:pPr>
        <w:spacing w:before="240"/>
        <w:rPr>
          <w:rFonts w:cstheme="minorHAnsi"/>
          <w:sz w:val="24"/>
          <w:szCs w:val="24"/>
          <w:lang w:val="en-US"/>
        </w:rPr>
      </w:pPr>
      <w:r w:rsidRPr="00A37E24">
        <w:rPr>
          <w:rFonts w:cstheme="minorHAnsi"/>
          <w:sz w:val="24"/>
          <w:szCs w:val="24"/>
          <w:u w:val="single"/>
        </w:rPr>
        <w:t>INDICATION FOR USE:</w:t>
      </w:r>
      <w:r w:rsidRPr="00A37E24">
        <w:rPr>
          <w:rFonts w:cstheme="minorHAnsi"/>
          <w:sz w:val="24"/>
          <w:szCs w:val="24"/>
        </w:rPr>
        <w:br/>
        <w:t>It is used to treat infections caused by certain bacteria such as streptococcal infections of the throat and skin.</w:t>
      </w:r>
      <w:r w:rsidRPr="00A37E24">
        <w:rPr>
          <w:rFonts w:cstheme="minorHAnsi"/>
          <w:sz w:val="24"/>
          <w:szCs w:val="24"/>
        </w:rPr>
        <w:br/>
      </w:r>
      <w:r w:rsidRPr="00A37E24">
        <w:rPr>
          <w:rFonts w:cstheme="minorHAnsi"/>
          <w:sz w:val="24"/>
          <w:szCs w:val="24"/>
          <w:lang w:val="en-US"/>
        </w:rPr>
        <w:t xml:space="preserve">It is also meant to be used </w:t>
      </w:r>
      <w:r w:rsidR="00A37E24" w:rsidRPr="00A37E24">
        <w:rPr>
          <w:rFonts w:cstheme="minorHAnsi"/>
          <w:sz w:val="24"/>
          <w:szCs w:val="24"/>
          <w:lang w:val="en-US"/>
        </w:rPr>
        <w:t>in respiratory</w:t>
      </w:r>
      <w:r w:rsidR="00AA4646" w:rsidRPr="00A37E24">
        <w:rPr>
          <w:rFonts w:cstheme="minorHAnsi"/>
          <w:sz w:val="24"/>
          <w:szCs w:val="24"/>
          <w:lang w:val="en-US"/>
        </w:rPr>
        <w:t>(streptococcal pneumonia, Legionnaires disease)</w:t>
      </w:r>
      <w:r w:rsidR="00A37E24" w:rsidRPr="00A37E24">
        <w:rPr>
          <w:rFonts w:cstheme="minorHAnsi"/>
          <w:sz w:val="24"/>
          <w:szCs w:val="24"/>
          <w:lang w:val="en-US"/>
        </w:rPr>
        <w:t>, neonatal, ocular, or genital chlamydial infections; and in treatment of community-acquired pneumonia because it</w:t>
      </w:r>
      <w:r w:rsidR="00A37E24" w:rsidRPr="00A37E24">
        <w:rPr>
          <w:rFonts w:cstheme="minorHAnsi"/>
          <w:sz w:val="24"/>
          <w:szCs w:val="24"/>
          <w:lang w:val="en-US"/>
        </w:rPr>
        <w:t xml:space="preserve">s spectrum of activity includes the pneumococcus, Mycoplasma, and Legionella. </w:t>
      </w:r>
      <w:r w:rsidR="00AA4646" w:rsidRPr="00A37E24">
        <w:rPr>
          <w:rFonts w:cstheme="minorHAnsi"/>
          <w:sz w:val="24"/>
          <w:szCs w:val="24"/>
          <w:lang w:val="en-US"/>
        </w:rPr>
        <w:br/>
        <w:t xml:space="preserve">Erythromycin is used in patients who are allergic to penicillin for the prevention of recurrent rheumatic fever and infections of the hearts' valves (endocarditis) in patients with valvular abnormalities of the heart before they undergo dental treatments and infection cause by staphylococci, streptococci and pneumococci. </w:t>
      </w:r>
      <w:r w:rsidR="00A37E24">
        <w:rPr>
          <w:rFonts w:cstheme="minorHAnsi"/>
          <w:sz w:val="24"/>
          <w:szCs w:val="24"/>
          <w:lang w:val="en-US"/>
        </w:rPr>
        <w:br/>
        <w:t>In capsule it should be taken in 250g for suspected infections every 6 hours</w:t>
      </w:r>
      <w:r w:rsidR="00AA4646" w:rsidRPr="00A37E24">
        <w:rPr>
          <w:rFonts w:cstheme="minorHAnsi"/>
          <w:sz w:val="24"/>
          <w:szCs w:val="24"/>
          <w:lang w:val="en-US"/>
        </w:rPr>
        <w:br/>
      </w:r>
      <w:r w:rsidR="00AA4646" w:rsidRPr="00A37E24">
        <w:rPr>
          <w:rFonts w:cstheme="minorHAnsi"/>
          <w:sz w:val="24"/>
          <w:szCs w:val="24"/>
          <w:lang w:val="en-US"/>
        </w:rPr>
        <w:br/>
      </w:r>
      <w:r w:rsidR="00AA4646" w:rsidRPr="00A37E24">
        <w:rPr>
          <w:rFonts w:cstheme="minorHAnsi"/>
          <w:sz w:val="24"/>
          <w:szCs w:val="24"/>
          <w:u w:val="single"/>
          <w:lang w:val="en-US"/>
        </w:rPr>
        <w:t>TOXICITY AND ADVERSE EFFECTS</w:t>
      </w:r>
      <w:r w:rsidR="00AA4646" w:rsidRPr="00A37E24">
        <w:rPr>
          <w:rFonts w:cstheme="minorHAnsi"/>
          <w:sz w:val="24"/>
          <w:szCs w:val="24"/>
          <w:lang w:val="en-US"/>
        </w:rPr>
        <w:br/>
      </w:r>
      <w:r w:rsidR="00AA4646" w:rsidRPr="00A37E24">
        <w:rPr>
          <w:rFonts w:cstheme="minorHAnsi"/>
          <w:sz w:val="24"/>
          <w:szCs w:val="24"/>
          <w:u w:val="single"/>
          <w:lang w:val="en-US"/>
        </w:rPr>
        <w:t>Liver Toxicity</w:t>
      </w:r>
      <w:r w:rsidR="00AA4646" w:rsidRPr="00A37E24">
        <w:rPr>
          <w:rFonts w:cstheme="minorHAnsi"/>
          <w:sz w:val="24"/>
          <w:szCs w:val="24"/>
          <w:lang w:val="en-US"/>
        </w:rPr>
        <w:t xml:space="preserve">: Erythromycins, particularly the estolate, can produce acute cholestatic hepatitis </w:t>
      </w:r>
      <w:r w:rsidR="00AA4646" w:rsidRPr="00A37E24">
        <w:rPr>
          <w:rFonts w:cstheme="minorHAnsi"/>
          <w:sz w:val="24"/>
          <w:szCs w:val="24"/>
          <w:lang w:val="en-US"/>
        </w:rPr>
        <w:br/>
      </w:r>
      <w:r w:rsidR="00A37E24" w:rsidRPr="00A37E24">
        <w:rPr>
          <w:rFonts w:cstheme="minorHAnsi"/>
          <w:sz w:val="24"/>
          <w:szCs w:val="24"/>
          <w:u w:val="single"/>
          <w:lang w:val="en-US"/>
        </w:rPr>
        <w:t>Gastrointestinal</w:t>
      </w:r>
      <w:r w:rsidR="00AA4646" w:rsidRPr="00A37E24">
        <w:rPr>
          <w:rFonts w:cstheme="minorHAnsi"/>
          <w:sz w:val="24"/>
          <w:szCs w:val="24"/>
          <w:u w:val="single"/>
          <w:lang w:val="en-US"/>
        </w:rPr>
        <w:t>:</w:t>
      </w:r>
      <w:r w:rsidR="00AA4646" w:rsidRPr="00A37E24">
        <w:rPr>
          <w:rFonts w:cstheme="minorHAnsi"/>
          <w:sz w:val="24"/>
          <w:szCs w:val="24"/>
          <w:lang w:val="en-US"/>
        </w:rPr>
        <w:t xml:space="preserve"> abdominal pain, anorexia, vomiting, nausea</w:t>
      </w:r>
      <w:r w:rsidR="00AA4646" w:rsidRPr="00A37E24">
        <w:rPr>
          <w:rFonts w:cstheme="minorHAnsi"/>
          <w:sz w:val="24"/>
          <w:szCs w:val="24"/>
          <w:lang w:val="en-US"/>
        </w:rPr>
        <w:br/>
      </w:r>
      <w:r w:rsidR="00AA4646" w:rsidRPr="00A37E24">
        <w:rPr>
          <w:rFonts w:cstheme="minorHAnsi"/>
          <w:sz w:val="24"/>
          <w:szCs w:val="24"/>
          <w:u w:val="single"/>
          <w:lang w:val="en-US"/>
        </w:rPr>
        <w:t>Hepatic</w:t>
      </w:r>
      <w:r w:rsidR="00AA4646" w:rsidRPr="00A37E24">
        <w:rPr>
          <w:rFonts w:cstheme="minorHAnsi"/>
          <w:sz w:val="24"/>
          <w:szCs w:val="24"/>
          <w:lang w:val="en-US"/>
        </w:rPr>
        <w:t>: hepatoxicity</w:t>
      </w:r>
      <w:r w:rsidR="00AA4646" w:rsidRPr="00A37E24">
        <w:rPr>
          <w:rFonts w:cstheme="minorHAnsi"/>
          <w:sz w:val="24"/>
          <w:szCs w:val="24"/>
          <w:lang w:val="en-US"/>
        </w:rPr>
        <w:br/>
      </w:r>
      <w:r w:rsidR="00AA4646" w:rsidRPr="00A37E24">
        <w:rPr>
          <w:rFonts w:cstheme="minorHAnsi"/>
          <w:sz w:val="24"/>
          <w:szCs w:val="24"/>
          <w:u w:val="single"/>
          <w:lang w:val="en-US"/>
        </w:rPr>
        <w:t>Dermatologic</w:t>
      </w:r>
      <w:r w:rsidR="00AA4646" w:rsidRPr="00A37E24">
        <w:rPr>
          <w:rFonts w:cstheme="minorHAnsi"/>
          <w:sz w:val="24"/>
          <w:szCs w:val="24"/>
          <w:lang w:val="en-US"/>
        </w:rPr>
        <w:t>: skin rashes, pain at injection site, thrombophlebitis(</w:t>
      </w:r>
      <w:r w:rsidR="00AA4646" w:rsidRPr="00A37E24">
        <w:rPr>
          <w:rFonts w:cstheme="minorHAnsi"/>
          <w:color w:val="222222"/>
          <w:sz w:val="24"/>
          <w:szCs w:val="24"/>
          <w:shd w:val="clear" w:color="auto" w:fill="FFFFFF"/>
        </w:rPr>
        <w:t>inflammatory process that causes a blood clot to form and block one or more veins</w:t>
      </w:r>
      <w:r w:rsidR="00A37E24">
        <w:rPr>
          <w:rFonts w:cstheme="minorHAnsi"/>
          <w:color w:val="222222"/>
          <w:sz w:val="24"/>
          <w:szCs w:val="24"/>
          <w:shd w:val="clear" w:color="auto" w:fill="FFFFFF"/>
        </w:rPr>
        <w:t>)</w:t>
      </w:r>
      <w:bookmarkStart w:id="0" w:name="_GoBack"/>
      <w:bookmarkEnd w:id="0"/>
      <w:r w:rsidR="00AA4646" w:rsidRPr="00A37E24">
        <w:rPr>
          <w:rFonts w:cstheme="minorHAnsi"/>
          <w:sz w:val="24"/>
          <w:szCs w:val="24"/>
          <w:lang w:val="en-US"/>
        </w:rPr>
        <w:br/>
      </w:r>
    </w:p>
    <w:p w:rsidR="00AA4646" w:rsidRPr="00A37E24" w:rsidRDefault="00AA4646" w:rsidP="00547B62">
      <w:pPr>
        <w:rPr>
          <w:rFonts w:cstheme="minorHAnsi"/>
          <w:sz w:val="24"/>
          <w:szCs w:val="24"/>
          <w:lang w:val="en-US"/>
        </w:rPr>
      </w:pPr>
    </w:p>
    <w:p w:rsidR="00AA4646" w:rsidRPr="00A37E24" w:rsidRDefault="00AA4646" w:rsidP="00547B62">
      <w:pPr>
        <w:rPr>
          <w:rFonts w:cstheme="minorHAnsi"/>
          <w:sz w:val="24"/>
          <w:szCs w:val="24"/>
          <w:lang w:val="en-US"/>
        </w:rPr>
      </w:pPr>
    </w:p>
    <w:p w:rsidR="00AA4646" w:rsidRPr="00A37E24" w:rsidRDefault="00AA4646" w:rsidP="00547B62">
      <w:pPr>
        <w:rPr>
          <w:rFonts w:cstheme="minorHAnsi"/>
          <w:sz w:val="24"/>
          <w:szCs w:val="24"/>
          <w:lang w:val="en-US"/>
        </w:rPr>
      </w:pPr>
    </w:p>
    <w:p w:rsidR="00AA4646" w:rsidRPr="00A37E24" w:rsidRDefault="00AA4646" w:rsidP="00547B62">
      <w:pPr>
        <w:rPr>
          <w:rFonts w:cstheme="minorHAnsi"/>
          <w:sz w:val="24"/>
          <w:szCs w:val="24"/>
          <w:lang w:val="en-US"/>
        </w:rPr>
      </w:pPr>
    </w:p>
    <w:sectPr w:rsidR="00AA4646" w:rsidRPr="00A37E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373CA"/>
    <w:multiLevelType w:val="hybridMultilevel"/>
    <w:tmpl w:val="DF08C3DC"/>
    <w:lvl w:ilvl="0" w:tplc="6C3A478C">
      <w:start w:val="1"/>
      <w:numFmt w:val="bullet"/>
      <w:lvlText w:val="•"/>
      <w:lvlJc w:val="left"/>
      <w:pPr>
        <w:tabs>
          <w:tab w:val="num" w:pos="720"/>
        </w:tabs>
        <w:ind w:left="720" w:hanging="360"/>
      </w:pPr>
      <w:rPr>
        <w:rFonts w:ascii="Arial" w:hAnsi="Arial" w:hint="default"/>
      </w:rPr>
    </w:lvl>
    <w:lvl w:ilvl="1" w:tplc="40BA9F10" w:tentative="1">
      <w:start w:val="1"/>
      <w:numFmt w:val="bullet"/>
      <w:lvlText w:val="•"/>
      <w:lvlJc w:val="left"/>
      <w:pPr>
        <w:tabs>
          <w:tab w:val="num" w:pos="1440"/>
        </w:tabs>
        <w:ind w:left="1440" w:hanging="360"/>
      </w:pPr>
      <w:rPr>
        <w:rFonts w:ascii="Arial" w:hAnsi="Arial" w:hint="default"/>
      </w:rPr>
    </w:lvl>
    <w:lvl w:ilvl="2" w:tplc="ABB6D588" w:tentative="1">
      <w:start w:val="1"/>
      <w:numFmt w:val="bullet"/>
      <w:lvlText w:val="•"/>
      <w:lvlJc w:val="left"/>
      <w:pPr>
        <w:tabs>
          <w:tab w:val="num" w:pos="2160"/>
        </w:tabs>
        <w:ind w:left="2160" w:hanging="360"/>
      </w:pPr>
      <w:rPr>
        <w:rFonts w:ascii="Arial" w:hAnsi="Arial" w:hint="default"/>
      </w:rPr>
    </w:lvl>
    <w:lvl w:ilvl="3" w:tplc="80108432" w:tentative="1">
      <w:start w:val="1"/>
      <w:numFmt w:val="bullet"/>
      <w:lvlText w:val="•"/>
      <w:lvlJc w:val="left"/>
      <w:pPr>
        <w:tabs>
          <w:tab w:val="num" w:pos="2880"/>
        </w:tabs>
        <w:ind w:left="2880" w:hanging="360"/>
      </w:pPr>
      <w:rPr>
        <w:rFonts w:ascii="Arial" w:hAnsi="Arial" w:hint="default"/>
      </w:rPr>
    </w:lvl>
    <w:lvl w:ilvl="4" w:tplc="09E4AC28" w:tentative="1">
      <w:start w:val="1"/>
      <w:numFmt w:val="bullet"/>
      <w:lvlText w:val="•"/>
      <w:lvlJc w:val="left"/>
      <w:pPr>
        <w:tabs>
          <w:tab w:val="num" w:pos="3600"/>
        </w:tabs>
        <w:ind w:left="3600" w:hanging="360"/>
      </w:pPr>
      <w:rPr>
        <w:rFonts w:ascii="Arial" w:hAnsi="Arial" w:hint="default"/>
      </w:rPr>
    </w:lvl>
    <w:lvl w:ilvl="5" w:tplc="1526C12A" w:tentative="1">
      <w:start w:val="1"/>
      <w:numFmt w:val="bullet"/>
      <w:lvlText w:val="•"/>
      <w:lvlJc w:val="left"/>
      <w:pPr>
        <w:tabs>
          <w:tab w:val="num" w:pos="4320"/>
        </w:tabs>
        <w:ind w:left="4320" w:hanging="360"/>
      </w:pPr>
      <w:rPr>
        <w:rFonts w:ascii="Arial" w:hAnsi="Arial" w:hint="default"/>
      </w:rPr>
    </w:lvl>
    <w:lvl w:ilvl="6" w:tplc="035C25C0" w:tentative="1">
      <w:start w:val="1"/>
      <w:numFmt w:val="bullet"/>
      <w:lvlText w:val="•"/>
      <w:lvlJc w:val="left"/>
      <w:pPr>
        <w:tabs>
          <w:tab w:val="num" w:pos="5040"/>
        </w:tabs>
        <w:ind w:left="5040" w:hanging="360"/>
      </w:pPr>
      <w:rPr>
        <w:rFonts w:ascii="Arial" w:hAnsi="Arial" w:hint="default"/>
      </w:rPr>
    </w:lvl>
    <w:lvl w:ilvl="7" w:tplc="B7DC1912" w:tentative="1">
      <w:start w:val="1"/>
      <w:numFmt w:val="bullet"/>
      <w:lvlText w:val="•"/>
      <w:lvlJc w:val="left"/>
      <w:pPr>
        <w:tabs>
          <w:tab w:val="num" w:pos="5760"/>
        </w:tabs>
        <w:ind w:left="5760" w:hanging="360"/>
      </w:pPr>
      <w:rPr>
        <w:rFonts w:ascii="Arial" w:hAnsi="Arial" w:hint="default"/>
      </w:rPr>
    </w:lvl>
    <w:lvl w:ilvl="8" w:tplc="4C5CC14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5934234"/>
    <w:multiLevelType w:val="hybridMultilevel"/>
    <w:tmpl w:val="FA402C58"/>
    <w:lvl w:ilvl="0" w:tplc="81260826">
      <w:start w:val="1"/>
      <w:numFmt w:val="bullet"/>
      <w:lvlText w:val="•"/>
      <w:lvlJc w:val="left"/>
      <w:pPr>
        <w:tabs>
          <w:tab w:val="num" w:pos="720"/>
        </w:tabs>
        <w:ind w:left="720" w:hanging="360"/>
      </w:pPr>
      <w:rPr>
        <w:rFonts w:ascii="Arial" w:hAnsi="Arial" w:hint="default"/>
      </w:rPr>
    </w:lvl>
    <w:lvl w:ilvl="1" w:tplc="FD3A22C4" w:tentative="1">
      <w:start w:val="1"/>
      <w:numFmt w:val="bullet"/>
      <w:lvlText w:val="•"/>
      <w:lvlJc w:val="left"/>
      <w:pPr>
        <w:tabs>
          <w:tab w:val="num" w:pos="1440"/>
        </w:tabs>
        <w:ind w:left="1440" w:hanging="360"/>
      </w:pPr>
      <w:rPr>
        <w:rFonts w:ascii="Arial" w:hAnsi="Arial" w:hint="default"/>
      </w:rPr>
    </w:lvl>
    <w:lvl w:ilvl="2" w:tplc="16201DCE" w:tentative="1">
      <w:start w:val="1"/>
      <w:numFmt w:val="bullet"/>
      <w:lvlText w:val="•"/>
      <w:lvlJc w:val="left"/>
      <w:pPr>
        <w:tabs>
          <w:tab w:val="num" w:pos="2160"/>
        </w:tabs>
        <w:ind w:left="2160" w:hanging="360"/>
      </w:pPr>
      <w:rPr>
        <w:rFonts w:ascii="Arial" w:hAnsi="Arial" w:hint="default"/>
      </w:rPr>
    </w:lvl>
    <w:lvl w:ilvl="3" w:tplc="C1A44E72" w:tentative="1">
      <w:start w:val="1"/>
      <w:numFmt w:val="bullet"/>
      <w:lvlText w:val="•"/>
      <w:lvlJc w:val="left"/>
      <w:pPr>
        <w:tabs>
          <w:tab w:val="num" w:pos="2880"/>
        </w:tabs>
        <w:ind w:left="2880" w:hanging="360"/>
      </w:pPr>
      <w:rPr>
        <w:rFonts w:ascii="Arial" w:hAnsi="Arial" w:hint="default"/>
      </w:rPr>
    </w:lvl>
    <w:lvl w:ilvl="4" w:tplc="FFDE7976" w:tentative="1">
      <w:start w:val="1"/>
      <w:numFmt w:val="bullet"/>
      <w:lvlText w:val="•"/>
      <w:lvlJc w:val="left"/>
      <w:pPr>
        <w:tabs>
          <w:tab w:val="num" w:pos="3600"/>
        </w:tabs>
        <w:ind w:left="3600" w:hanging="360"/>
      </w:pPr>
      <w:rPr>
        <w:rFonts w:ascii="Arial" w:hAnsi="Arial" w:hint="default"/>
      </w:rPr>
    </w:lvl>
    <w:lvl w:ilvl="5" w:tplc="365AACF0" w:tentative="1">
      <w:start w:val="1"/>
      <w:numFmt w:val="bullet"/>
      <w:lvlText w:val="•"/>
      <w:lvlJc w:val="left"/>
      <w:pPr>
        <w:tabs>
          <w:tab w:val="num" w:pos="4320"/>
        </w:tabs>
        <w:ind w:left="4320" w:hanging="360"/>
      </w:pPr>
      <w:rPr>
        <w:rFonts w:ascii="Arial" w:hAnsi="Arial" w:hint="default"/>
      </w:rPr>
    </w:lvl>
    <w:lvl w:ilvl="6" w:tplc="27847680" w:tentative="1">
      <w:start w:val="1"/>
      <w:numFmt w:val="bullet"/>
      <w:lvlText w:val="•"/>
      <w:lvlJc w:val="left"/>
      <w:pPr>
        <w:tabs>
          <w:tab w:val="num" w:pos="5040"/>
        </w:tabs>
        <w:ind w:left="5040" w:hanging="360"/>
      </w:pPr>
      <w:rPr>
        <w:rFonts w:ascii="Arial" w:hAnsi="Arial" w:hint="default"/>
      </w:rPr>
    </w:lvl>
    <w:lvl w:ilvl="7" w:tplc="7966BE12" w:tentative="1">
      <w:start w:val="1"/>
      <w:numFmt w:val="bullet"/>
      <w:lvlText w:val="•"/>
      <w:lvlJc w:val="left"/>
      <w:pPr>
        <w:tabs>
          <w:tab w:val="num" w:pos="5760"/>
        </w:tabs>
        <w:ind w:left="5760" w:hanging="360"/>
      </w:pPr>
      <w:rPr>
        <w:rFonts w:ascii="Arial" w:hAnsi="Arial" w:hint="default"/>
      </w:rPr>
    </w:lvl>
    <w:lvl w:ilvl="8" w:tplc="53D2144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B62"/>
    <w:rsid w:val="00547B62"/>
    <w:rsid w:val="00571B1B"/>
    <w:rsid w:val="00A37E24"/>
    <w:rsid w:val="00AA4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56E3"/>
  <w15:chartTrackingRefBased/>
  <w15:docId w15:val="{1C1368A1-D997-4A5C-A248-466E3E41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7B62"/>
    <w:rPr>
      <w:b/>
      <w:bCs/>
    </w:rPr>
  </w:style>
  <w:style w:type="paragraph" w:styleId="ListParagraph">
    <w:name w:val="List Paragraph"/>
    <w:basedOn w:val="Normal"/>
    <w:uiPriority w:val="34"/>
    <w:qFormat/>
    <w:rsid w:val="00547B62"/>
    <w:pPr>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AA464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AA46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560169">
      <w:bodyDiv w:val="1"/>
      <w:marLeft w:val="0"/>
      <w:marRight w:val="0"/>
      <w:marTop w:val="0"/>
      <w:marBottom w:val="0"/>
      <w:divBdr>
        <w:top w:val="none" w:sz="0" w:space="0" w:color="auto"/>
        <w:left w:val="none" w:sz="0" w:space="0" w:color="auto"/>
        <w:bottom w:val="none" w:sz="0" w:space="0" w:color="auto"/>
        <w:right w:val="none" w:sz="0" w:space="0" w:color="auto"/>
      </w:divBdr>
      <w:divsChild>
        <w:div w:id="963075139">
          <w:marLeft w:val="547"/>
          <w:marRight w:val="0"/>
          <w:marTop w:val="154"/>
          <w:marBottom w:val="0"/>
          <w:divBdr>
            <w:top w:val="none" w:sz="0" w:space="0" w:color="auto"/>
            <w:left w:val="none" w:sz="0" w:space="0" w:color="auto"/>
            <w:bottom w:val="none" w:sz="0" w:space="0" w:color="auto"/>
            <w:right w:val="none" w:sz="0" w:space="0" w:color="auto"/>
          </w:divBdr>
        </w:div>
      </w:divsChild>
    </w:div>
    <w:div w:id="368338501">
      <w:bodyDiv w:val="1"/>
      <w:marLeft w:val="0"/>
      <w:marRight w:val="0"/>
      <w:marTop w:val="0"/>
      <w:marBottom w:val="0"/>
      <w:divBdr>
        <w:top w:val="none" w:sz="0" w:space="0" w:color="auto"/>
        <w:left w:val="none" w:sz="0" w:space="0" w:color="auto"/>
        <w:bottom w:val="none" w:sz="0" w:space="0" w:color="auto"/>
        <w:right w:val="none" w:sz="0" w:space="0" w:color="auto"/>
      </w:divBdr>
      <w:divsChild>
        <w:div w:id="1909532335">
          <w:marLeft w:val="547"/>
          <w:marRight w:val="0"/>
          <w:marTop w:val="96"/>
          <w:marBottom w:val="0"/>
          <w:divBdr>
            <w:top w:val="none" w:sz="0" w:space="0" w:color="auto"/>
            <w:left w:val="none" w:sz="0" w:space="0" w:color="auto"/>
            <w:bottom w:val="none" w:sz="0" w:space="0" w:color="auto"/>
            <w:right w:val="none" w:sz="0" w:space="0" w:color="auto"/>
          </w:divBdr>
        </w:div>
      </w:divsChild>
    </w:div>
    <w:div w:id="848448820">
      <w:bodyDiv w:val="1"/>
      <w:marLeft w:val="0"/>
      <w:marRight w:val="0"/>
      <w:marTop w:val="0"/>
      <w:marBottom w:val="0"/>
      <w:divBdr>
        <w:top w:val="none" w:sz="0" w:space="0" w:color="auto"/>
        <w:left w:val="none" w:sz="0" w:space="0" w:color="auto"/>
        <w:bottom w:val="none" w:sz="0" w:space="0" w:color="auto"/>
        <w:right w:val="none" w:sz="0" w:space="0" w:color="auto"/>
      </w:divBdr>
    </w:div>
    <w:div w:id="1337685384">
      <w:bodyDiv w:val="1"/>
      <w:marLeft w:val="0"/>
      <w:marRight w:val="0"/>
      <w:marTop w:val="0"/>
      <w:marBottom w:val="0"/>
      <w:divBdr>
        <w:top w:val="none" w:sz="0" w:space="0" w:color="auto"/>
        <w:left w:val="none" w:sz="0" w:space="0" w:color="auto"/>
        <w:bottom w:val="none" w:sz="0" w:space="0" w:color="auto"/>
        <w:right w:val="none" w:sz="0" w:space="0" w:color="auto"/>
      </w:divBdr>
      <w:divsChild>
        <w:div w:id="46148423">
          <w:marLeft w:val="547"/>
          <w:marRight w:val="0"/>
          <w:marTop w:val="154"/>
          <w:marBottom w:val="0"/>
          <w:divBdr>
            <w:top w:val="none" w:sz="0" w:space="0" w:color="auto"/>
            <w:left w:val="none" w:sz="0" w:space="0" w:color="auto"/>
            <w:bottom w:val="none" w:sz="0" w:space="0" w:color="auto"/>
            <w:right w:val="none" w:sz="0" w:space="0" w:color="auto"/>
          </w:divBdr>
        </w:div>
      </w:divsChild>
    </w:div>
    <w:div w:id="1443190452">
      <w:bodyDiv w:val="1"/>
      <w:marLeft w:val="0"/>
      <w:marRight w:val="0"/>
      <w:marTop w:val="0"/>
      <w:marBottom w:val="0"/>
      <w:divBdr>
        <w:top w:val="none" w:sz="0" w:space="0" w:color="auto"/>
        <w:left w:val="none" w:sz="0" w:space="0" w:color="auto"/>
        <w:bottom w:val="none" w:sz="0" w:space="0" w:color="auto"/>
        <w:right w:val="none" w:sz="0" w:space="0" w:color="auto"/>
      </w:divBdr>
      <w:divsChild>
        <w:div w:id="1460875486">
          <w:marLeft w:val="547"/>
          <w:marRight w:val="0"/>
          <w:marTop w:val="154"/>
          <w:marBottom w:val="0"/>
          <w:divBdr>
            <w:top w:val="none" w:sz="0" w:space="0" w:color="auto"/>
            <w:left w:val="none" w:sz="0" w:space="0" w:color="auto"/>
            <w:bottom w:val="none" w:sz="0" w:space="0" w:color="auto"/>
            <w:right w:val="none" w:sz="0" w:space="0" w:color="auto"/>
          </w:divBdr>
        </w:div>
      </w:divsChild>
    </w:div>
    <w:div w:id="160861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2020-05-01T18:00:00Z</dcterms:created>
  <dcterms:modified xsi:type="dcterms:W3CDTF">2020-05-01T18:25:00Z</dcterms:modified>
</cp:coreProperties>
</file>