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Chloramphenicol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•Chloramphenicol is a bacteriostatic broad-spectrum antibiotic that is active against both aerobic and anaerobic gram-positive and gram-negative organisms.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It is active also against rickettsiae. Haemophilus influenzae, N. meningitidis, and some strains of Bacteroides are highly susceptible, and for them chloramphenicol may be bactericidal.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Mechanisms of action: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•Chloramphenicol blocks proper binding of 50S site which, stops protein synthesis.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It does inhibit mitochondrial ribosomal protein synthesis because these ribosomes are 70S, the same as those in bacteria.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•It hinders the transfer of the elongating peptide chain to the newly attached amino acyl tRNA at the ribosome mRNA complex.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•It specifically attaches to the 50S ribosome and therefore hinder the access of aminoacyl-tRNA to the acceptor for amino acid incorporation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•It prevents formation of peptide bond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•This may be responsible for the dose related anemia caused by chloramphenicol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•Pharmacokinetics: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•Following oral administration, chloramphenicol is rapidly and completely absorbed.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•It is widely distributed to virtually all tissues and body fluids. The drug penetrates cell membranes readily.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•Excretion of active chloramphenicol and of inactive degradation products occurs by way of the urine. A small amount of active drug is excreted into bile or feces.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•Newborns less than a week old and premature infants clear chloramphenicol inadequately.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•Clinical Uses: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•Because of potential toxicity, bacterial resistance, and the availability of other effective drugs, chloramphenicol may be considered mainly for treatment of serious rickettsial infections, bacterial meningitis caused by a markedly penicillin-resistant strain of pneumococcus or meningococcus, and thyphoid fever.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•Adverse Reactions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•Gastrointestinal disturbances: Adults occasionally develop nausea, vomiting, and diarrhea.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•Oral or vaginal candidiasis may occur as a result of alteration of normal microbial flora.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•Bone marrow disturbances: Chloramphenicol commonly causes a dose-related reversible suppression of red cell production at dosages exceeding 50 mg/kg/d after 1-2 weeks.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•Aplastic anemia is a rare consequence of chloramphenicol administration by any route. It is an idiosyncratic reaction unrelated to dose, though it occurs more frequently with prolonged use. It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•tends to be irreversible and can be fatal.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•Toxicity for newborn infants: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•Newborn infants lack an effective glucuronic acid conjugation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•mechanism for the degradation and detoxification of chloramphenicol.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•Consequently, when infants are given dosages above 50 mg/kg/d, the drug may accumulate, resulting in the gray baby syndrome, with vomiting, flaccidity, hypothermia, gray color, shock, and collapse.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