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AB8A" w:rsidP="00D7AB8A" w:rsidRDefault="00D7AB8A" w14:paraId="5A4B0268" w14:textId="1632D908">
      <w:pPr>
        <w:pStyle w:val="Normal"/>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1"/>
          <w:bCs w:val="1"/>
          <w:i w:val="0"/>
          <w:iCs w:val="0"/>
          <w:noProof w:val="0"/>
          <w:color w:val="000000" w:themeColor="text1" w:themeTint="FF" w:themeShade="FF"/>
          <w:sz w:val="30"/>
          <w:szCs w:val="30"/>
          <w:u w:val="single"/>
          <w:lang w:val="en-US"/>
        </w:rPr>
        <w:t>CHUKWURAH CHIDIOGO SHARON</w:t>
      </w:r>
    </w:p>
    <w:p w:rsidR="00D7AB8A" w:rsidP="00D7AB8A" w:rsidRDefault="00D7AB8A" w14:paraId="5EFDD5F8" w14:textId="7EF5A2D6">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1"/>
          <w:bCs w:val="1"/>
          <w:i w:val="0"/>
          <w:iCs w:val="0"/>
          <w:noProof w:val="0"/>
          <w:color w:val="000000" w:themeColor="text1" w:themeTint="FF" w:themeShade="FF"/>
          <w:sz w:val="30"/>
          <w:szCs w:val="30"/>
          <w:u w:val="single"/>
          <w:lang w:val="en-US"/>
        </w:rPr>
        <w:t>19/MHS01/131</w:t>
      </w:r>
    </w:p>
    <w:p w:rsidR="00D7AB8A" w:rsidP="00D7AB8A" w:rsidRDefault="00D7AB8A" w14:paraId="153875E5" w14:textId="379395DC">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1"/>
          <w:bCs w:val="1"/>
          <w:i w:val="0"/>
          <w:iCs w:val="0"/>
          <w:noProof w:val="0"/>
          <w:color w:val="000000" w:themeColor="text1" w:themeTint="FF" w:themeShade="FF"/>
          <w:sz w:val="30"/>
          <w:szCs w:val="30"/>
          <w:u w:val="single"/>
          <w:lang w:val="en-US"/>
        </w:rPr>
        <w:t>MBBS</w:t>
      </w:r>
    </w:p>
    <w:p w:rsidR="00D7AB8A" w:rsidP="00D7AB8A" w:rsidRDefault="00D7AB8A" w14:paraId="0E42C15A" w14:textId="6F775757">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p>
    <w:p w:rsidR="00D7AB8A" w:rsidP="00D7AB8A" w:rsidRDefault="00D7AB8A" w14:paraId="59921C96" w14:textId="6D9BAED3">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0"/>
          <w:bCs w:val="0"/>
          <w:i w:val="0"/>
          <w:iCs w:val="0"/>
          <w:noProof w:val="0"/>
          <w:color w:val="000000" w:themeColor="text1" w:themeTint="FF" w:themeShade="FF"/>
          <w:sz w:val="30"/>
          <w:szCs w:val="30"/>
          <w:lang w:val="en-US"/>
        </w:rPr>
        <w:t>The 2019–20 coronavirus pandemic is an ongoing pandemic of coronavirus disease 2019 (COVID‑19) caused by severe acute respiratory syndrome coronavirus 2 (SARS‑CoV‑2). The outbreak was identified in Wuhan, China, in December 2019.The World Health Organization declared the outbreak a Public Health Emergency of International Concern on 30 January, and a pandemic on 11 March. As of 1 May 2020, more than 3.3 million cases of COVID-19 have been reported in 187 countries and territories, resulting in more than 235,000 deaths. More than 1.03 million people have recovered.</w:t>
      </w:r>
    </w:p>
    <w:p w:rsidR="00D7AB8A" w:rsidP="00D7AB8A" w:rsidRDefault="00D7AB8A" w14:paraId="022DD421" w14:textId="597AD24E">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0"/>
          <w:bCs w:val="0"/>
          <w:i w:val="0"/>
          <w:iCs w:val="0"/>
          <w:noProof w:val="0"/>
          <w:color w:val="000000" w:themeColor="text1" w:themeTint="FF" w:themeShade="FF"/>
          <w:sz w:val="30"/>
          <w:szCs w:val="30"/>
          <w:lang w:val="en-US"/>
        </w:rPr>
        <w:t>The virus is primarily spread between people during close contact, often via small droplets produced by coughing, sneezing, or talking. The droplets usually fall to the ground or onto surfaces rather than remaining in the air over long distances. People may also become infected by touching a contaminated surface and then touching their face. On surfaces, the amount of virus declines over time until it is insufficient to remain infectious, but it may be detected for hours or days. It is most contagious during the first three days after the onset of symptoms, although spread may be possible before symptoms appear and in later stages of the disease.</w:t>
      </w:r>
    </w:p>
    <w:p w:rsidR="00D7AB8A" w:rsidP="00D7AB8A" w:rsidRDefault="00D7AB8A" w14:paraId="4701CDCC" w14:textId="5DBE2291">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0"/>
          <w:bCs w:val="0"/>
          <w:i w:val="0"/>
          <w:iCs w:val="0"/>
          <w:noProof w:val="0"/>
          <w:color w:val="000000" w:themeColor="text1" w:themeTint="FF" w:themeShade="FF"/>
          <w:sz w:val="30"/>
          <w:szCs w:val="30"/>
          <w:lang w:val="en-US"/>
        </w:rPr>
        <w:t>Common symptoms include fever, cough, fatigue, shortness of breath, and loss of smell. Complications may include pneumonia and acute respiratory distress syndrome. The time from exposure to onset of symptoms is typically around five days, but may range from two to fourteen days. There is no known vaccine or specific antiviral treatment.Primary treatment is symptomatic and supportive therapy.</w:t>
      </w:r>
    </w:p>
    <w:p w:rsidR="00D7AB8A" w:rsidP="00D7AB8A" w:rsidRDefault="00D7AB8A" w14:paraId="366CF3BD" w14:textId="092F8EEE">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0"/>
          <w:bCs w:val="0"/>
          <w:i w:val="0"/>
          <w:iCs w:val="0"/>
          <w:noProof w:val="0"/>
          <w:color w:val="000000" w:themeColor="text1" w:themeTint="FF" w:themeShade="FF"/>
          <w:sz w:val="30"/>
          <w:szCs w:val="30"/>
          <w:lang w:val="en-US"/>
        </w:rPr>
        <w:t>Before the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D7AB8A" w:rsidP="00D7AB8A" w:rsidRDefault="00D7AB8A" w14:paraId="5605DC13" w14:textId="4FB61E40">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0"/>
          <w:bCs w:val="0"/>
          <w:i w:val="0"/>
          <w:iCs w:val="0"/>
          <w:noProof w:val="0"/>
          <w:color w:val="000000" w:themeColor="text1" w:themeTint="FF" w:themeShade="FF"/>
          <w:sz w:val="30"/>
          <w:szCs w:val="30"/>
          <w:lang w:val="en-US"/>
        </w:rPr>
        <w:t>The lockdown, however, prevents many Nigerians working in informal sectors from traveling to work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w:t>
      </w:r>
    </w:p>
    <w:p w:rsidR="00D7AB8A" w:rsidP="00D7AB8A" w:rsidRDefault="00D7AB8A" w14:paraId="4CC2204A" w14:textId="43A9F486">
      <w:pPr>
        <w:spacing w:after="160" w:line="259" w:lineRule="auto"/>
        <w:rPr>
          <w:rFonts w:ascii="Calibri" w:hAnsi="Calibri" w:eastAsia="Calibri" w:cs="Calibri"/>
          <w:b w:val="0"/>
          <w:bCs w:val="0"/>
          <w:i w:val="0"/>
          <w:iCs w:val="0"/>
          <w:noProof w:val="0"/>
          <w:color w:val="000000" w:themeColor="text1" w:themeTint="FF" w:themeShade="FF"/>
          <w:sz w:val="30"/>
          <w:szCs w:val="30"/>
          <w:lang w:val="en-US"/>
        </w:rPr>
      </w:pPr>
      <w:r w:rsidRPr="00D7AB8A" w:rsidR="00D7AB8A">
        <w:rPr>
          <w:rFonts w:ascii="Calibri" w:hAnsi="Calibri" w:eastAsia="Calibri" w:cs="Calibri"/>
          <w:b w:val="0"/>
          <w:bCs w:val="0"/>
          <w:i w:val="0"/>
          <w:iCs w:val="0"/>
          <w:noProof w:val="0"/>
          <w:color w:val="000000" w:themeColor="text1" w:themeTint="FF" w:themeShade="FF"/>
          <w:sz w:val="30"/>
          <w:szCs w:val="30"/>
          <w:lang w:val="en-US"/>
        </w:rPr>
        <w:t>The restrictions on movement of people and border closures foreshadow a decline in exports.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D7AB8A" w:rsidP="00D7AB8A" w:rsidRDefault="00D7AB8A" w14:paraId="3DBAFDD1" w14:textId="77789F35">
      <w:pPr>
        <w:spacing w:after="160" w:line="259" w:lineRule="auto"/>
        <w:rPr>
          <w:rFonts w:ascii="Calibri" w:hAnsi="Calibri" w:eastAsia="Calibri" w:cs="Calibri"/>
          <w:b w:val="1"/>
          <w:bCs w:val="1"/>
          <w:noProof w:val="0"/>
          <w:sz w:val="22"/>
          <w:szCs w:val="22"/>
          <w:u w:val="single"/>
          <w:lang w:val="en-US"/>
        </w:rPr>
      </w:pPr>
      <w:r w:rsidRPr="00D7AB8A" w:rsidR="00D7AB8A">
        <w:rPr>
          <w:rFonts w:ascii="Calibri" w:hAnsi="Calibri" w:eastAsia="Calibri" w:cs="Calibri"/>
          <w:b w:val="0"/>
          <w:bCs w:val="0"/>
          <w:i w:val="0"/>
          <w:iCs w:val="0"/>
          <w:noProof w:val="0"/>
          <w:color w:val="000000" w:themeColor="text1" w:themeTint="FF" w:themeShade="FF"/>
          <w:sz w:val="30"/>
          <w:szCs w:val="30"/>
          <w:lang w:val="en-US"/>
        </w:rPr>
        <w:t xml:space="preserve">This virus has many negative effects on the society and economy at large but we must stay home and stop the spread. The healthcare workers are the real soldiers in this battle; more power to their elbows. Hopefully a cure shall be found soon.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208B5E"/>
  <w15:docId w15:val="{f45fb456-4a0e-47d4-ab50-34ef3632f61c}"/>
  <w:rsids>
    <w:rsidRoot w:val="2E208B5E"/>
    <w:rsid w:val="00D7AB8A"/>
    <w:rsid w:val="2C25EEDC"/>
    <w:rsid w:val="2E208B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2020-04-25T19:40:38.2543238Z</dcterms:created>
  <dcterms:modified xsi:type="dcterms:W3CDTF">2020-05-01T21:32:59.5908869Z</dcterms:modified>
  <dc:creator>Chidiogo Chukwurah</dc:creator>
  <lastModifiedBy>Chidiogo Chukwurah</lastModifiedBy>
</coreProperties>
</file>