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96" w:rsidRPr="00246696" w:rsidRDefault="00246696" w:rsidP="00246696">
      <w:pPr>
        <w:spacing w:line="600" w:lineRule="auto"/>
        <w:rPr>
          <w:rFonts w:ascii="Times New Roman" w:hAnsi="Times New Roman" w:cs="Times New Roman"/>
          <w:sz w:val="48"/>
          <w:szCs w:val="48"/>
        </w:rPr>
      </w:pPr>
      <w:r w:rsidRPr="00246696">
        <w:rPr>
          <w:rFonts w:ascii="Times New Roman" w:hAnsi="Times New Roman" w:cs="Times New Roman"/>
          <w:sz w:val="48"/>
          <w:szCs w:val="48"/>
        </w:rPr>
        <w:t xml:space="preserve">Name: Araka Chukwunweike </w:t>
      </w:r>
      <w:proofErr w:type="spellStart"/>
      <w:r w:rsidRPr="00246696">
        <w:rPr>
          <w:rFonts w:ascii="Times New Roman" w:hAnsi="Times New Roman" w:cs="Times New Roman"/>
          <w:sz w:val="48"/>
          <w:szCs w:val="48"/>
        </w:rPr>
        <w:t>Akosa</w:t>
      </w:r>
      <w:proofErr w:type="spellEnd"/>
    </w:p>
    <w:p w:rsidR="00246696" w:rsidRPr="00246696" w:rsidRDefault="00246696" w:rsidP="00246696">
      <w:pPr>
        <w:spacing w:line="600" w:lineRule="auto"/>
        <w:rPr>
          <w:rFonts w:ascii="Times New Roman" w:hAnsi="Times New Roman" w:cs="Times New Roman"/>
          <w:sz w:val="48"/>
          <w:szCs w:val="48"/>
        </w:rPr>
      </w:pPr>
      <w:r w:rsidRPr="00246696">
        <w:rPr>
          <w:rFonts w:ascii="Times New Roman" w:hAnsi="Times New Roman" w:cs="Times New Roman"/>
          <w:sz w:val="48"/>
          <w:szCs w:val="48"/>
        </w:rPr>
        <w:t>Matric Number: 16/law01/038</w:t>
      </w:r>
    </w:p>
    <w:p w:rsidR="00246696" w:rsidRPr="00246696" w:rsidRDefault="00246696" w:rsidP="00246696">
      <w:pPr>
        <w:spacing w:line="600" w:lineRule="auto"/>
        <w:rPr>
          <w:rFonts w:ascii="Times New Roman" w:hAnsi="Times New Roman" w:cs="Times New Roman"/>
          <w:sz w:val="48"/>
          <w:szCs w:val="48"/>
        </w:rPr>
      </w:pPr>
      <w:r w:rsidRPr="00246696">
        <w:rPr>
          <w:rFonts w:ascii="Times New Roman" w:hAnsi="Times New Roman" w:cs="Times New Roman"/>
          <w:sz w:val="48"/>
          <w:szCs w:val="48"/>
        </w:rPr>
        <w:t>Level: 400</w:t>
      </w:r>
    </w:p>
    <w:p w:rsidR="00246696" w:rsidRPr="00246696" w:rsidRDefault="00246696" w:rsidP="00246696">
      <w:pPr>
        <w:spacing w:line="600" w:lineRule="auto"/>
        <w:rPr>
          <w:rFonts w:ascii="Times New Roman" w:hAnsi="Times New Roman" w:cs="Times New Roman"/>
          <w:sz w:val="48"/>
          <w:szCs w:val="48"/>
        </w:rPr>
      </w:pPr>
      <w:r w:rsidRPr="00246696">
        <w:rPr>
          <w:rFonts w:ascii="Times New Roman" w:hAnsi="Times New Roman" w:cs="Times New Roman"/>
          <w:sz w:val="48"/>
          <w:szCs w:val="48"/>
        </w:rPr>
        <w:t>Course Title: Conflict of Laws II</w:t>
      </w:r>
    </w:p>
    <w:p w:rsidR="00246696" w:rsidRPr="00246696" w:rsidRDefault="00246696" w:rsidP="00246696">
      <w:pPr>
        <w:spacing w:line="600" w:lineRule="auto"/>
        <w:rPr>
          <w:rFonts w:ascii="Times New Roman" w:hAnsi="Times New Roman" w:cs="Times New Roman"/>
          <w:sz w:val="48"/>
          <w:szCs w:val="48"/>
        </w:rPr>
      </w:pPr>
      <w:r w:rsidRPr="00246696">
        <w:rPr>
          <w:rFonts w:ascii="Times New Roman" w:hAnsi="Times New Roman" w:cs="Times New Roman"/>
          <w:sz w:val="48"/>
          <w:szCs w:val="48"/>
        </w:rPr>
        <w:t>Course Code: LPI 406</w:t>
      </w:r>
    </w:p>
    <w:p w:rsidR="00246696" w:rsidRPr="00246696" w:rsidRDefault="00246696" w:rsidP="00246696">
      <w:pPr>
        <w:spacing w:line="600" w:lineRule="auto"/>
        <w:rPr>
          <w:rFonts w:ascii="Times New Roman" w:hAnsi="Times New Roman" w:cs="Times New Roman"/>
          <w:sz w:val="48"/>
          <w:szCs w:val="48"/>
        </w:rPr>
      </w:pPr>
      <w:r w:rsidRPr="00246696">
        <w:rPr>
          <w:rFonts w:ascii="Times New Roman" w:hAnsi="Times New Roman" w:cs="Times New Roman"/>
          <w:sz w:val="48"/>
          <w:szCs w:val="48"/>
        </w:rPr>
        <w:t xml:space="preserve">Lecturer: </w:t>
      </w:r>
      <w:r w:rsidR="00F03EF4">
        <w:rPr>
          <w:rFonts w:ascii="Times New Roman" w:hAnsi="Times New Roman" w:cs="Times New Roman"/>
          <w:sz w:val="48"/>
          <w:szCs w:val="48"/>
        </w:rPr>
        <w:t xml:space="preserve">Professor </w:t>
      </w:r>
      <w:proofErr w:type="spellStart"/>
      <w:r w:rsidR="00F03EF4">
        <w:rPr>
          <w:rFonts w:ascii="Times New Roman" w:hAnsi="Times New Roman" w:cs="Times New Roman"/>
          <w:sz w:val="48"/>
          <w:szCs w:val="48"/>
        </w:rPr>
        <w:t>Sesan</w:t>
      </w:r>
      <w:proofErr w:type="spellEnd"/>
      <w:r w:rsidR="00F03EF4">
        <w:rPr>
          <w:rFonts w:ascii="Times New Roman" w:hAnsi="Times New Roman" w:cs="Times New Roman"/>
          <w:sz w:val="48"/>
          <w:szCs w:val="48"/>
        </w:rPr>
        <w:t xml:space="preserve"> </w:t>
      </w:r>
      <w:proofErr w:type="spellStart"/>
      <w:r w:rsidR="00F03EF4">
        <w:rPr>
          <w:rFonts w:ascii="Times New Roman" w:hAnsi="Times New Roman" w:cs="Times New Roman"/>
          <w:sz w:val="48"/>
          <w:szCs w:val="48"/>
        </w:rPr>
        <w:t>Fabamise</w:t>
      </w:r>
      <w:proofErr w:type="spellEnd"/>
    </w:p>
    <w:p w:rsidR="00246696" w:rsidRPr="00246696" w:rsidRDefault="00246696" w:rsidP="00246696">
      <w:pPr>
        <w:spacing w:line="600" w:lineRule="auto"/>
        <w:rPr>
          <w:rFonts w:ascii="Times New Roman" w:hAnsi="Times New Roman" w:cs="Times New Roman"/>
          <w:sz w:val="48"/>
          <w:szCs w:val="48"/>
        </w:rPr>
      </w:pPr>
    </w:p>
    <w:p w:rsidR="00246696" w:rsidRDefault="00246696" w:rsidP="00246696">
      <w:pPr>
        <w:rPr>
          <w:rFonts w:ascii="Times New Roman" w:hAnsi="Times New Roman" w:cs="Times New Roman"/>
          <w:sz w:val="24"/>
          <w:szCs w:val="24"/>
        </w:rPr>
      </w:pPr>
    </w:p>
    <w:p w:rsidR="00246696" w:rsidRDefault="00246696" w:rsidP="00246696">
      <w:pPr>
        <w:rPr>
          <w:rFonts w:ascii="Times New Roman" w:hAnsi="Times New Roman" w:cs="Times New Roman"/>
          <w:sz w:val="24"/>
          <w:szCs w:val="24"/>
        </w:rPr>
      </w:pPr>
    </w:p>
    <w:p w:rsidR="00246696" w:rsidRDefault="00246696" w:rsidP="00246696">
      <w:pPr>
        <w:rPr>
          <w:rFonts w:ascii="Times New Roman" w:hAnsi="Times New Roman" w:cs="Times New Roman"/>
          <w:sz w:val="24"/>
          <w:szCs w:val="24"/>
        </w:rPr>
      </w:pPr>
    </w:p>
    <w:p w:rsidR="00246696" w:rsidRDefault="00246696" w:rsidP="00246696">
      <w:pPr>
        <w:rPr>
          <w:rFonts w:ascii="Times New Roman" w:hAnsi="Times New Roman" w:cs="Times New Roman"/>
          <w:sz w:val="24"/>
          <w:szCs w:val="24"/>
        </w:rPr>
      </w:pPr>
    </w:p>
    <w:p w:rsidR="00246696" w:rsidRDefault="00246696" w:rsidP="00246696">
      <w:pPr>
        <w:rPr>
          <w:rFonts w:ascii="Times New Roman" w:hAnsi="Times New Roman" w:cs="Times New Roman"/>
          <w:sz w:val="24"/>
          <w:szCs w:val="24"/>
        </w:rPr>
      </w:pPr>
    </w:p>
    <w:p w:rsidR="00246696" w:rsidRDefault="00246696" w:rsidP="00246696">
      <w:pPr>
        <w:rPr>
          <w:rFonts w:ascii="Times New Roman" w:hAnsi="Times New Roman" w:cs="Times New Roman"/>
          <w:sz w:val="24"/>
          <w:szCs w:val="24"/>
        </w:rPr>
      </w:pPr>
    </w:p>
    <w:p w:rsidR="00246696" w:rsidRDefault="00246696" w:rsidP="00246696">
      <w:pPr>
        <w:rPr>
          <w:rFonts w:ascii="Times New Roman" w:hAnsi="Times New Roman" w:cs="Times New Roman"/>
          <w:sz w:val="24"/>
          <w:szCs w:val="24"/>
        </w:rPr>
      </w:pPr>
    </w:p>
    <w:p w:rsidR="00246696" w:rsidRPr="00475F48" w:rsidRDefault="00246696" w:rsidP="00246696">
      <w:pPr>
        <w:spacing w:line="360" w:lineRule="auto"/>
        <w:jc w:val="center"/>
        <w:rPr>
          <w:rFonts w:ascii="Times New Roman" w:hAnsi="Times New Roman" w:cs="Times New Roman"/>
          <w:b/>
          <w:sz w:val="24"/>
          <w:szCs w:val="24"/>
        </w:rPr>
      </w:pPr>
      <w:r w:rsidRPr="00475F48">
        <w:rPr>
          <w:rFonts w:ascii="Times New Roman" w:hAnsi="Times New Roman" w:cs="Times New Roman"/>
          <w:b/>
          <w:sz w:val="24"/>
          <w:szCs w:val="24"/>
        </w:rPr>
        <w:lastRenderedPageBreak/>
        <w:t>Marriages and Conflict of Laws</w:t>
      </w:r>
    </w:p>
    <w:p w:rsidR="00246696" w:rsidRDefault="00246696" w:rsidP="00EB7700">
      <w:pPr>
        <w:pStyle w:val="ListParagraph"/>
        <w:numPr>
          <w:ilvl w:val="0"/>
          <w:numId w:val="1"/>
        </w:numPr>
        <w:spacing w:line="360" w:lineRule="auto"/>
        <w:jc w:val="both"/>
        <w:rPr>
          <w:rFonts w:ascii="Times New Roman" w:hAnsi="Times New Roman" w:cs="Times New Roman"/>
          <w:sz w:val="24"/>
          <w:szCs w:val="24"/>
        </w:rPr>
      </w:pPr>
      <w:r w:rsidRPr="00246696">
        <w:rPr>
          <w:rFonts w:ascii="Times New Roman" w:hAnsi="Times New Roman" w:cs="Times New Roman"/>
          <w:sz w:val="24"/>
          <w:szCs w:val="24"/>
        </w:rPr>
        <w:t>Explain the term "limping marriage". Identify the ways, at common law, by which the incidence of limping marriage has been reduced.</w:t>
      </w:r>
    </w:p>
    <w:p w:rsidR="003536C9" w:rsidRPr="00475F48" w:rsidRDefault="003536C9" w:rsidP="00EB7700">
      <w:pPr>
        <w:pStyle w:val="ListParagraph"/>
        <w:spacing w:line="360" w:lineRule="auto"/>
        <w:jc w:val="both"/>
        <w:rPr>
          <w:rFonts w:ascii="Times New Roman" w:hAnsi="Times New Roman" w:cs="Times New Roman"/>
          <w:b/>
          <w:sz w:val="24"/>
          <w:szCs w:val="24"/>
        </w:rPr>
      </w:pPr>
      <w:r w:rsidRPr="00475F48">
        <w:rPr>
          <w:rFonts w:ascii="Times New Roman" w:hAnsi="Times New Roman" w:cs="Times New Roman"/>
          <w:b/>
          <w:sz w:val="24"/>
          <w:szCs w:val="24"/>
        </w:rPr>
        <w:t xml:space="preserve">Limping marriage </w:t>
      </w:r>
    </w:p>
    <w:p w:rsidR="00076F86" w:rsidRDefault="003536C9" w:rsidP="00EB770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Limping marriages refer</w:t>
      </w:r>
      <w:r w:rsidR="00B7792B" w:rsidRPr="00B7792B">
        <w:rPr>
          <w:rFonts w:ascii="Times New Roman" w:hAnsi="Times New Roman" w:cs="Times New Roman"/>
          <w:sz w:val="24"/>
          <w:szCs w:val="24"/>
        </w:rPr>
        <w:t xml:space="preserve"> to the marital status of people considered as married under the law of one state or country while under the law of another state such marriage is unrecognized, consider</w:t>
      </w:r>
      <w:r w:rsidR="00B7792B">
        <w:rPr>
          <w:rFonts w:ascii="Times New Roman" w:hAnsi="Times New Roman" w:cs="Times New Roman"/>
          <w:sz w:val="24"/>
          <w:szCs w:val="24"/>
        </w:rPr>
        <w:t xml:space="preserve">ed inexistent and not binding. </w:t>
      </w:r>
      <w:r w:rsidR="00076F86" w:rsidRPr="00B7792B">
        <w:rPr>
          <w:rFonts w:ascii="Times New Roman" w:hAnsi="Times New Roman" w:cs="Times New Roman"/>
          <w:sz w:val="24"/>
          <w:szCs w:val="24"/>
        </w:rPr>
        <w:t xml:space="preserve">According to </w:t>
      </w:r>
      <w:r w:rsidR="00076F86" w:rsidRPr="003536C9">
        <w:rPr>
          <w:rFonts w:ascii="Times New Roman" w:hAnsi="Times New Roman" w:cs="Times New Roman"/>
          <w:b/>
          <w:sz w:val="24"/>
          <w:szCs w:val="24"/>
        </w:rPr>
        <w:t>Britannica encyclopaedia</w:t>
      </w:r>
      <w:r w:rsidR="00076F86" w:rsidRPr="00B7792B">
        <w:rPr>
          <w:rFonts w:ascii="Times New Roman" w:hAnsi="Times New Roman" w:cs="Times New Roman"/>
          <w:sz w:val="24"/>
          <w:szCs w:val="24"/>
        </w:rPr>
        <w:t xml:space="preserve">, limping marriage is “when a person is regarded as married by one country and as single by another”. </w:t>
      </w:r>
      <w:r w:rsidR="00B7792B" w:rsidRPr="00B7792B">
        <w:rPr>
          <w:rFonts w:ascii="Times New Roman" w:hAnsi="Times New Roman" w:cs="Times New Roman"/>
          <w:sz w:val="24"/>
          <w:szCs w:val="24"/>
        </w:rPr>
        <w:t xml:space="preserve"> </w:t>
      </w:r>
      <w:r w:rsidR="00076F86" w:rsidRPr="00B7792B">
        <w:rPr>
          <w:rFonts w:ascii="Times New Roman" w:hAnsi="Times New Roman" w:cs="Times New Roman"/>
          <w:sz w:val="24"/>
          <w:szCs w:val="24"/>
        </w:rPr>
        <w:t xml:space="preserve">The term “limping marriage” </w:t>
      </w:r>
      <w:r w:rsidR="00B7792B" w:rsidRPr="00B7792B">
        <w:rPr>
          <w:rFonts w:ascii="Times New Roman" w:hAnsi="Times New Roman" w:cs="Times New Roman"/>
          <w:sz w:val="24"/>
          <w:szCs w:val="24"/>
        </w:rPr>
        <w:t xml:space="preserve">was defined by the High Court in </w:t>
      </w:r>
      <w:proofErr w:type="spellStart"/>
      <w:r w:rsidR="00B7792B" w:rsidRPr="003536C9">
        <w:rPr>
          <w:rFonts w:ascii="Times New Roman" w:hAnsi="Times New Roman" w:cs="Times New Roman"/>
          <w:b/>
          <w:i/>
          <w:sz w:val="24"/>
          <w:szCs w:val="24"/>
        </w:rPr>
        <w:t>Pires</w:t>
      </w:r>
      <w:proofErr w:type="spellEnd"/>
      <w:r w:rsidR="00B7792B" w:rsidRPr="003536C9">
        <w:rPr>
          <w:rFonts w:ascii="Times New Roman" w:hAnsi="Times New Roman" w:cs="Times New Roman"/>
          <w:b/>
          <w:i/>
          <w:sz w:val="24"/>
          <w:szCs w:val="24"/>
        </w:rPr>
        <w:t xml:space="preserve"> v.</w:t>
      </w:r>
      <w:r w:rsidR="00076F86" w:rsidRPr="003536C9">
        <w:rPr>
          <w:rFonts w:ascii="Times New Roman" w:hAnsi="Times New Roman" w:cs="Times New Roman"/>
          <w:b/>
          <w:i/>
          <w:sz w:val="24"/>
          <w:szCs w:val="24"/>
        </w:rPr>
        <w:t xml:space="preserve"> </w:t>
      </w:r>
      <w:proofErr w:type="spellStart"/>
      <w:r w:rsidR="00076F86" w:rsidRPr="003536C9">
        <w:rPr>
          <w:rFonts w:ascii="Times New Roman" w:hAnsi="Times New Roman" w:cs="Times New Roman"/>
          <w:b/>
          <w:i/>
          <w:sz w:val="24"/>
          <w:szCs w:val="24"/>
        </w:rPr>
        <w:t>Pires</w:t>
      </w:r>
      <w:proofErr w:type="spellEnd"/>
      <w:r w:rsidR="00B7792B" w:rsidRPr="003536C9">
        <w:rPr>
          <w:rStyle w:val="FootnoteReference"/>
          <w:rFonts w:ascii="Times New Roman" w:hAnsi="Times New Roman" w:cs="Times New Roman"/>
          <w:b/>
          <w:i/>
          <w:sz w:val="24"/>
          <w:szCs w:val="24"/>
        </w:rPr>
        <w:footnoteReference w:id="1"/>
      </w:r>
      <w:r w:rsidR="00B7792B" w:rsidRPr="00B7792B">
        <w:rPr>
          <w:rFonts w:ascii="Times New Roman" w:hAnsi="Times New Roman" w:cs="Times New Roman"/>
          <w:b/>
          <w:sz w:val="24"/>
          <w:szCs w:val="24"/>
        </w:rPr>
        <w:t xml:space="preserve"> </w:t>
      </w:r>
      <w:r w:rsidR="00B7792B" w:rsidRPr="00B7792B">
        <w:rPr>
          <w:rFonts w:ascii="Times New Roman" w:hAnsi="Times New Roman" w:cs="Times New Roman"/>
          <w:sz w:val="24"/>
          <w:szCs w:val="24"/>
        </w:rPr>
        <w:t>as</w:t>
      </w:r>
      <w:r w:rsidR="00076F86" w:rsidRPr="00B7792B">
        <w:rPr>
          <w:rFonts w:ascii="Times New Roman" w:hAnsi="Times New Roman" w:cs="Times New Roman"/>
          <w:sz w:val="24"/>
          <w:szCs w:val="24"/>
        </w:rPr>
        <w:t xml:space="preserve"> </w:t>
      </w:r>
      <w:r w:rsidR="006A0925">
        <w:rPr>
          <w:rFonts w:ascii="Times New Roman" w:hAnsi="Times New Roman" w:cs="Times New Roman"/>
          <w:sz w:val="24"/>
          <w:szCs w:val="24"/>
        </w:rPr>
        <w:t>“</w:t>
      </w:r>
      <w:r w:rsidR="00076F86" w:rsidRPr="00B7792B">
        <w:rPr>
          <w:rFonts w:ascii="Times New Roman" w:hAnsi="Times New Roman" w:cs="Times New Roman"/>
          <w:sz w:val="24"/>
          <w:szCs w:val="24"/>
        </w:rPr>
        <w:t>situations where a couple was considered</w:t>
      </w:r>
      <w:r w:rsidR="00B7792B" w:rsidRPr="00B7792B">
        <w:rPr>
          <w:rFonts w:ascii="Times New Roman" w:hAnsi="Times New Roman" w:cs="Times New Roman"/>
          <w:sz w:val="24"/>
          <w:szCs w:val="24"/>
        </w:rPr>
        <w:t xml:space="preserve"> </w:t>
      </w:r>
      <w:r w:rsidR="00076F86" w:rsidRPr="00B7792B">
        <w:rPr>
          <w:rFonts w:ascii="Times New Roman" w:hAnsi="Times New Roman" w:cs="Times New Roman"/>
          <w:sz w:val="24"/>
          <w:szCs w:val="24"/>
        </w:rPr>
        <w:t>married in one country and divorced in another</w:t>
      </w:r>
      <w:r w:rsidR="006A0925">
        <w:rPr>
          <w:rFonts w:ascii="Times New Roman" w:hAnsi="Times New Roman" w:cs="Times New Roman"/>
          <w:sz w:val="24"/>
          <w:szCs w:val="24"/>
        </w:rPr>
        <w:t>”</w:t>
      </w:r>
      <w:r w:rsidR="00076F86" w:rsidRPr="00B7792B">
        <w:rPr>
          <w:rFonts w:ascii="Times New Roman" w:hAnsi="Times New Roman" w:cs="Times New Roman"/>
          <w:sz w:val="24"/>
          <w:szCs w:val="24"/>
        </w:rPr>
        <w:t>.</w:t>
      </w:r>
      <w:r w:rsidR="00B7792B" w:rsidRPr="00B7792B">
        <w:rPr>
          <w:rFonts w:ascii="Times New Roman" w:hAnsi="Times New Roman" w:cs="Times New Roman"/>
          <w:sz w:val="24"/>
          <w:szCs w:val="24"/>
        </w:rPr>
        <w:t xml:space="preserve"> Also, </w:t>
      </w:r>
      <w:r w:rsidR="00B7792B" w:rsidRPr="003536C9">
        <w:rPr>
          <w:rFonts w:ascii="Times New Roman" w:hAnsi="Times New Roman" w:cs="Times New Roman"/>
          <w:b/>
          <w:sz w:val="24"/>
          <w:szCs w:val="24"/>
        </w:rPr>
        <w:t>Lord Penzance</w:t>
      </w:r>
      <w:r w:rsidR="00B7792B" w:rsidRPr="00B7792B">
        <w:rPr>
          <w:rFonts w:ascii="Times New Roman" w:hAnsi="Times New Roman" w:cs="Times New Roman"/>
          <w:sz w:val="24"/>
          <w:szCs w:val="24"/>
        </w:rPr>
        <w:t xml:space="preserve"> in </w:t>
      </w:r>
      <w:r w:rsidR="00B7792B" w:rsidRPr="003536C9">
        <w:rPr>
          <w:rFonts w:ascii="Times New Roman" w:hAnsi="Times New Roman" w:cs="Times New Roman"/>
          <w:b/>
          <w:i/>
          <w:sz w:val="24"/>
          <w:szCs w:val="24"/>
        </w:rPr>
        <w:t>Wilson v Wilson</w:t>
      </w:r>
      <w:r>
        <w:rPr>
          <w:rFonts w:ascii="Times New Roman" w:hAnsi="Times New Roman" w:cs="Times New Roman"/>
          <w:sz w:val="24"/>
          <w:szCs w:val="24"/>
        </w:rPr>
        <w:t xml:space="preserve">, viewed limping marriage as “scandal when a man and woman are man and wife in one country and strangers in another”. </w:t>
      </w:r>
    </w:p>
    <w:p w:rsidR="00C839ED" w:rsidRDefault="003536C9" w:rsidP="00EB7700">
      <w:pPr>
        <w:pStyle w:val="ListParagraph"/>
        <w:spacing w:line="360" w:lineRule="auto"/>
        <w:jc w:val="both"/>
        <w:rPr>
          <w:rFonts w:ascii="Times New Roman" w:hAnsi="Times New Roman" w:cs="Times New Roman"/>
          <w:b/>
          <w:i/>
          <w:sz w:val="24"/>
          <w:szCs w:val="24"/>
        </w:rPr>
      </w:pPr>
      <w:r>
        <w:rPr>
          <w:rFonts w:ascii="Times New Roman" w:hAnsi="Times New Roman" w:cs="Times New Roman"/>
          <w:sz w:val="24"/>
          <w:szCs w:val="24"/>
        </w:rPr>
        <w:t>The root cause of limping marriages is the existence of different rules of Private International Law that regulate recognition of foreign judgements in different states. This fundamental difference connotes that a country in which the nullity decree was given will view a marriage as totally extinguished whereas, another country which the parties to the suit is seeking recognition of the foreign nullity decree still views the parties as married thus, lacking capacit</w:t>
      </w:r>
      <w:r w:rsidR="006A0925">
        <w:rPr>
          <w:rFonts w:ascii="Times New Roman" w:hAnsi="Times New Roman" w:cs="Times New Roman"/>
          <w:sz w:val="24"/>
          <w:szCs w:val="24"/>
        </w:rPr>
        <w:t xml:space="preserve">y to contract another marriage. This has wrought a lot of uncertainty and injustice as seen in </w:t>
      </w:r>
      <w:r w:rsidR="00C839ED">
        <w:rPr>
          <w:rFonts w:ascii="Times New Roman" w:hAnsi="Times New Roman" w:cs="Times New Roman"/>
          <w:sz w:val="24"/>
          <w:szCs w:val="24"/>
        </w:rPr>
        <w:t>plethora of cases</w:t>
      </w:r>
      <w:r w:rsidR="00C839ED" w:rsidRPr="00C839ED">
        <w:rPr>
          <w:rFonts w:ascii="Times New Roman" w:hAnsi="Times New Roman" w:cs="Times New Roman"/>
          <w:sz w:val="24"/>
          <w:szCs w:val="24"/>
        </w:rPr>
        <w:t>:</w:t>
      </w:r>
      <w:r w:rsidR="00C839ED" w:rsidRPr="00C839ED">
        <w:rPr>
          <w:rFonts w:ascii="Times New Roman" w:hAnsi="Times New Roman" w:cs="Times New Roman"/>
          <w:i/>
          <w:sz w:val="24"/>
          <w:szCs w:val="24"/>
        </w:rPr>
        <w:t xml:space="preserve"> </w:t>
      </w:r>
      <w:proofErr w:type="spellStart"/>
      <w:r w:rsidR="00C839ED" w:rsidRPr="00C839ED">
        <w:rPr>
          <w:rFonts w:ascii="Times New Roman" w:hAnsi="Times New Roman" w:cs="Times New Roman"/>
          <w:b/>
          <w:i/>
          <w:sz w:val="24"/>
          <w:szCs w:val="24"/>
        </w:rPr>
        <w:t>Padolechia</w:t>
      </w:r>
      <w:proofErr w:type="spellEnd"/>
      <w:r w:rsidR="00C839ED" w:rsidRPr="00C839ED">
        <w:rPr>
          <w:rFonts w:ascii="Times New Roman" w:hAnsi="Times New Roman" w:cs="Times New Roman"/>
          <w:b/>
          <w:i/>
          <w:sz w:val="24"/>
          <w:szCs w:val="24"/>
        </w:rPr>
        <w:t xml:space="preserve"> v. </w:t>
      </w:r>
      <w:proofErr w:type="spellStart"/>
      <w:r w:rsidR="00C839ED" w:rsidRPr="00C839ED">
        <w:rPr>
          <w:rFonts w:ascii="Times New Roman" w:hAnsi="Times New Roman" w:cs="Times New Roman"/>
          <w:b/>
          <w:i/>
          <w:sz w:val="24"/>
          <w:szCs w:val="24"/>
        </w:rPr>
        <w:t>Padolechia</w:t>
      </w:r>
      <w:proofErr w:type="spellEnd"/>
      <w:r w:rsidR="00C839ED" w:rsidRPr="00C839ED">
        <w:rPr>
          <w:rStyle w:val="FootnoteReference"/>
          <w:rFonts w:ascii="Times New Roman" w:hAnsi="Times New Roman" w:cs="Times New Roman"/>
          <w:sz w:val="24"/>
          <w:szCs w:val="24"/>
        </w:rPr>
        <w:footnoteReference w:id="2"/>
      </w:r>
      <w:r w:rsidR="00C839ED" w:rsidRPr="00C839ED">
        <w:rPr>
          <w:rFonts w:ascii="Times New Roman" w:hAnsi="Times New Roman" w:cs="Times New Roman"/>
          <w:sz w:val="24"/>
          <w:szCs w:val="24"/>
        </w:rPr>
        <w:t>,</w:t>
      </w:r>
      <w:r w:rsidR="00C839ED">
        <w:rPr>
          <w:rFonts w:ascii="Times New Roman" w:hAnsi="Times New Roman" w:cs="Times New Roman"/>
          <w:b/>
          <w:sz w:val="24"/>
          <w:szCs w:val="24"/>
        </w:rPr>
        <w:t xml:space="preserve"> </w:t>
      </w:r>
      <w:r w:rsidR="00C839ED" w:rsidRPr="00C839ED">
        <w:rPr>
          <w:rFonts w:ascii="Times New Roman" w:hAnsi="Times New Roman" w:cs="Times New Roman"/>
          <w:b/>
          <w:i/>
          <w:sz w:val="24"/>
          <w:szCs w:val="24"/>
        </w:rPr>
        <w:t xml:space="preserve">R v. Brentwood Superintendent Registrar of Marriages ex p </w:t>
      </w:r>
      <w:proofErr w:type="spellStart"/>
      <w:r w:rsidR="00C839ED" w:rsidRPr="00C839ED">
        <w:rPr>
          <w:rFonts w:ascii="Times New Roman" w:hAnsi="Times New Roman" w:cs="Times New Roman"/>
          <w:b/>
          <w:i/>
          <w:sz w:val="24"/>
          <w:szCs w:val="24"/>
        </w:rPr>
        <w:t>Arais</w:t>
      </w:r>
      <w:proofErr w:type="spellEnd"/>
      <w:r w:rsidR="00C839ED" w:rsidRPr="00C839ED">
        <w:rPr>
          <w:rStyle w:val="FootnoteReference"/>
          <w:rFonts w:ascii="Times New Roman" w:hAnsi="Times New Roman" w:cs="Times New Roman"/>
          <w:sz w:val="24"/>
          <w:szCs w:val="24"/>
        </w:rPr>
        <w:footnoteReference w:id="3"/>
      </w:r>
      <w:r w:rsidR="00C839ED">
        <w:rPr>
          <w:rFonts w:ascii="Times New Roman" w:hAnsi="Times New Roman" w:cs="Times New Roman"/>
          <w:b/>
          <w:sz w:val="24"/>
          <w:szCs w:val="24"/>
        </w:rPr>
        <w:t xml:space="preserve">, </w:t>
      </w:r>
      <w:r w:rsidR="00C839ED" w:rsidRPr="00C839ED">
        <w:rPr>
          <w:rFonts w:ascii="Times New Roman" w:hAnsi="Times New Roman" w:cs="Times New Roman"/>
          <w:b/>
          <w:i/>
          <w:sz w:val="24"/>
          <w:szCs w:val="24"/>
        </w:rPr>
        <w:t>Lawrence v. Lawrence</w:t>
      </w:r>
      <w:r w:rsidR="00C839ED">
        <w:rPr>
          <w:rStyle w:val="FootnoteReference"/>
          <w:rFonts w:ascii="Times New Roman" w:hAnsi="Times New Roman" w:cs="Times New Roman"/>
          <w:b/>
          <w:sz w:val="24"/>
          <w:szCs w:val="24"/>
        </w:rPr>
        <w:footnoteReference w:id="4"/>
      </w:r>
      <w:r w:rsidR="00C839ED">
        <w:rPr>
          <w:rFonts w:ascii="Times New Roman" w:hAnsi="Times New Roman" w:cs="Times New Roman"/>
          <w:b/>
          <w:i/>
          <w:sz w:val="24"/>
          <w:szCs w:val="24"/>
        </w:rPr>
        <w:t xml:space="preserve">, </w:t>
      </w:r>
      <w:proofErr w:type="spellStart"/>
      <w:r w:rsidR="00C839ED">
        <w:rPr>
          <w:rFonts w:ascii="Times New Roman" w:hAnsi="Times New Roman" w:cs="Times New Roman"/>
          <w:b/>
          <w:i/>
          <w:sz w:val="24"/>
          <w:szCs w:val="24"/>
        </w:rPr>
        <w:t>Biggar</w:t>
      </w:r>
      <w:proofErr w:type="spellEnd"/>
      <w:r w:rsidR="00C839ED">
        <w:rPr>
          <w:rFonts w:ascii="Times New Roman" w:hAnsi="Times New Roman" w:cs="Times New Roman"/>
          <w:b/>
          <w:i/>
          <w:sz w:val="24"/>
          <w:szCs w:val="24"/>
        </w:rPr>
        <w:t xml:space="preserve"> v. </w:t>
      </w:r>
      <w:proofErr w:type="spellStart"/>
      <w:r w:rsidR="00C839ED">
        <w:rPr>
          <w:rFonts w:ascii="Times New Roman" w:hAnsi="Times New Roman" w:cs="Times New Roman"/>
          <w:b/>
          <w:i/>
          <w:sz w:val="24"/>
          <w:szCs w:val="24"/>
        </w:rPr>
        <w:t>Biggar</w:t>
      </w:r>
      <w:proofErr w:type="spellEnd"/>
      <w:r w:rsidR="00C839ED">
        <w:rPr>
          <w:rFonts w:ascii="Times New Roman" w:hAnsi="Times New Roman" w:cs="Times New Roman"/>
          <w:b/>
          <w:i/>
          <w:sz w:val="24"/>
          <w:szCs w:val="24"/>
        </w:rPr>
        <w:t xml:space="preserve"> </w:t>
      </w:r>
      <w:r w:rsidR="00C839ED">
        <w:rPr>
          <w:rStyle w:val="FootnoteReference"/>
          <w:rFonts w:ascii="Times New Roman" w:hAnsi="Times New Roman" w:cs="Times New Roman"/>
          <w:b/>
          <w:i/>
          <w:sz w:val="24"/>
          <w:szCs w:val="24"/>
        </w:rPr>
        <w:footnoteReference w:id="5"/>
      </w:r>
      <w:r w:rsidR="00C839ED" w:rsidRPr="00C839ED">
        <w:rPr>
          <w:rFonts w:ascii="Times New Roman" w:hAnsi="Times New Roman" w:cs="Times New Roman"/>
          <w:sz w:val="24"/>
          <w:szCs w:val="24"/>
        </w:rPr>
        <w:t>and</w:t>
      </w:r>
      <w:r w:rsidR="00C839ED">
        <w:rPr>
          <w:rFonts w:ascii="Times New Roman" w:hAnsi="Times New Roman" w:cs="Times New Roman"/>
          <w:sz w:val="24"/>
          <w:szCs w:val="24"/>
        </w:rPr>
        <w:t xml:space="preserve"> </w:t>
      </w:r>
      <w:r w:rsidR="00C839ED" w:rsidRPr="00C839ED">
        <w:rPr>
          <w:rFonts w:ascii="Times New Roman" w:hAnsi="Times New Roman" w:cs="Times New Roman"/>
          <w:b/>
          <w:i/>
          <w:sz w:val="24"/>
          <w:szCs w:val="24"/>
        </w:rPr>
        <w:t>Kendall v. Kendall</w:t>
      </w:r>
      <w:r w:rsidR="00C839ED">
        <w:rPr>
          <w:rStyle w:val="FootnoteReference"/>
          <w:rFonts w:ascii="Times New Roman" w:hAnsi="Times New Roman" w:cs="Times New Roman"/>
          <w:sz w:val="24"/>
          <w:szCs w:val="24"/>
        </w:rPr>
        <w:footnoteReference w:id="6"/>
      </w:r>
      <w:r w:rsidR="00C839ED">
        <w:rPr>
          <w:rFonts w:ascii="Times New Roman" w:hAnsi="Times New Roman" w:cs="Times New Roman"/>
          <w:b/>
          <w:i/>
          <w:sz w:val="24"/>
          <w:szCs w:val="24"/>
        </w:rPr>
        <w:t>.</w:t>
      </w:r>
    </w:p>
    <w:p w:rsidR="00475F48" w:rsidRDefault="00475F48" w:rsidP="00EB7700">
      <w:pPr>
        <w:pStyle w:val="ListParagraph"/>
        <w:spacing w:line="360" w:lineRule="auto"/>
        <w:jc w:val="both"/>
        <w:rPr>
          <w:rFonts w:ascii="Times New Roman" w:hAnsi="Times New Roman" w:cs="Times New Roman"/>
          <w:b/>
          <w:sz w:val="24"/>
          <w:szCs w:val="24"/>
        </w:rPr>
      </w:pPr>
      <w:r w:rsidRPr="00475F48">
        <w:rPr>
          <w:rFonts w:ascii="Times New Roman" w:hAnsi="Times New Roman" w:cs="Times New Roman"/>
          <w:b/>
          <w:sz w:val="24"/>
          <w:szCs w:val="24"/>
        </w:rPr>
        <w:t>Ways Common Law has reduced incidence of limping marriages:</w:t>
      </w:r>
    </w:p>
    <w:p w:rsidR="00475F48" w:rsidRPr="00475F48" w:rsidRDefault="00475F48" w:rsidP="00EB770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Rule in </w:t>
      </w:r>
      <w:r w:rsidRPr="00475F48">
        <w:rPr>
          <w:rFonts w:ascii="Times New Roman" w:hAnsi="Times New Roman" w:cs="Times New Roman"/>
          <w:b/>
          <w:i/>
          <w:sz w:val="24"/>
          <w:szCs w:val="24"/>
        </w:rPr>
        <w:t>Travers v. Holley</w:t>
      </w:r>
      <w:r>
        <w:rPr>
          <w:rStyle w:val="FootnoteReference"/>
          <w:rFonts w:ascii="Times New Roman" w:hAnsi="Times New Roman" w:cs="Times New Roman"/>
          <w:sz w:val="24"/>
          <w:szCs w:val="24"/>
        </w:rPr>
        <w:footnoteReference w:id="7"/>
      </w:r>
    </w:p>
    <w:p w:rsidR="00475F48" w:rsidRDefault="00475F48" w:rsidP="00EB770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This states that the English court will recognise a foreign decree of divorce if it is granted in circumstances where, </w:t>
      </w:r>
      <w:r w:rsidRPr="00475F48">
        <w:rPr>
          <w:rFonts w:ascii="Times New Roman" w:hAnsi="Times New Roman" w:cs="Times New Roman"/>
          <w:i/>
          <w:sz w:val="24"/>
          <w:szCs w:val="24"/>
        </w:rPr>
        <w:t>mutatis mutandis</w:t>
      </w:r>
      <w:r>
        <w:rPr>
          <w:rFonts w:ascii="Times New Roman" w:hAnsi="Times New Roman" w:cs="Times New Roman"/>
          <w:sz w:val="24"/>
          <w:szCs w:val="24"/>
        </w:rPr>
        <w:t xml:space="preserve">, an English court would itself have exercised jurisdiction. This rule alone widened the scope of recognition of foreign decrees of nullity, hence, reducing incidences of limping marriage. The rule </w:t>
      </w:r>
      <w:r>
        <w:rPr>
          <w:rFonts w:ascii="Times New Roman" w:hAnsi="Times New Roman" w:cs="Times New Roman"/>
          <w:sz w:val="24"/>
          <w:szCs w:val="24"/>
        </w:rPr>
        <w:lastRenderedPageBreak/>
        <w:t xml:space="preserve">goes to state that the court will recognise a foreign decree if the court assumed jurisdiction in instances the English court would have also assumed the same jurisdiction. This position is re-enacted in </w:t>
      </w:r>
      <w:r w:rsidRPr="00F63438">
        <w:rPr>
          <w:rFonts w:ascii="Times New Roman" w:hAnsi="Times New Roman" w:cs="Times New Roman"/>
          <w:b/>
          <w:sz w:val="24"/>
          <w:szCs w:val="24"/>
        </w:rPr>
        <w:t>Section 81</w:t>
      </w:r>
      <w:r w:rsidR="00F63438" w:rsidRPr="00F63438">
        <w:rPr>
          <w:rFonts w:ascii="Times New Roman" w:hAnsi="Times New Roman" w:cs="Times New Roman"/>
          <w:b/>
          <w:sz w:val="24"/>
          <w:szCs w:val="24"/>
        </w:rPr>
        <w:t>(3) of</w:t>
      </w:r>
      <w:r w:rsidRPr="00F63438">
        <w:rPr>
          <w:rFonts w:ascii="Times New Roman" w:hAnsi="Times New Roman" w:cs="Times New Roman"/>
          <w:b/>
          <w:sz w:val="24"/>
          <w:szCs w:val="24"/>
        </w:rPr>
        <w:t xml:space="preserve"> Matrimonial Cause</w:t>
      </w:r>
      <w:r w:rsidR="00F63438">
        <w:rPr>
          <w:rFonts w:ascii="Times New Roman" w:hAnsi="Times New Roman" w:cs="Times New Roman"/>
          <w:b/>
          <w:sz w:val="24"/>
          <w:szCs w:val="24"/>
        </w:rPr>
        <w:t>s Act</w:t>
      </w:r>
      <w:r w:rsidR="00F63438">
        <w:rPr>
          <w:rStyle w:val="FootnoteReference"/>
          <w:rFonts w:ascii="Times New Roman" w:hAnsi="Times New Roman" w:cs="Times New Roman"/>
          <w:b/>
          <w:sz w:val="24"/>
          <w:szCs w:val="24"/>
        </w:rPr>
        <w:footnoteReference w:id="8"/>
      </w:r>
      <w:r w:rsidR="00F63438">
        <w:rPr>
          <w:rFonts w:ascii="Times New Roman" w:hAnsi="Times New Roman" w:cs="Times New Roman"/>
          <w:b/>
          <w:sz w:val="24"/>
          <w:szCs w:val="24"/>
        </w:rPr>
        <w:t xml:space="preserve"> </w:t>
      </w:r>
      <w:r w:rsidR="00F63438">
        <w:rPr>
          <w:rFonts w:ascii="Times New Roman" w:hAnsi="Times New Roman" w:cs="Times New Roman"/>
          <w:sz w:val="24"/>
          <w:szCs w:val="24"/>
        </w:rPr>
        <w:t xml:space="preserve">which provides for special circumstances whereby </w:t>
      </w:r>
      <w:r w:rsidR="00E71264">
        <w:rPr>
          <w:rFonts w:ascii="Times New Roman" w:hAnsi="Times New Roman" w:cs="Times New Roman"/>
          <w:sz w:val="24"/>
          <w:szCs w:val="24"/>
        </w:rPr>
        <w:t xml:space="preserve">foreign decrees will be recognised in favour of deserted wives. </w:t>
      </w:r>
    </w:p>
    <w:p w:rsidR="00E71264" w:rsidRPr="00E71264" w:rsidRDefault="00E71264" w:rsidP="00EB770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real and subst</w:t>
      </w:r>
      <w:r w:rsidR="00F03EF4">
        <w:rPr>
          <w:rFonts w:ascii="Times New Roman" w:hAnsi="Times New Roman" w:cs="Times New Roman"/>
          <w:sz w:val="24"/>
          <w:szCs w:val="24"/>
        </w:rPr>
        <w:t xml:space="preserve">antial connection rule as distilled from </w:t>
      </w:r>
      <w:proofErr w:type="spellStart"/>
      <w:r w:rsidRPr="00E71264">
        <w:rPr>
          <w:rFonts w:ascii="Times New Roman" w:hAnsi="Times New Roman" w:cs="Times New Roman"/>
          <w:b/>
          <w:i/>
          <w:sz w:val="24"/>
          <w:szCs w:val="24"/>
        </w:rPr>
        <w:t>Indyka</w:t>
      </w:r>
      <w:proofErr w:type="spellEnd"/>
      <w:r w:rsidRPr="00E71264">
        <w:rPr>
          <w:rFonts w:ascii="Times New Roman" w:hAnsi="Times New Roman" w:cs="Times New Roman"/>
          <w:b/>
          <w:i/>
          <w:sz w:val="24"/>
          <w:szCs w:val="24"/>
        </w:rPr>
        <w:t xml:space="preserve"> v. </w:t>
      </w:r>
      <w:proofErr w:type="spellStart"/>
      <w:r w:rsidRPr="00E71264">
        <w:rPr>
          <w:rFonts w:ascii="Times New Roman" w:hAnsi="Times New Roman" w:cs="Times New Roman"/>
          <w:b/>
          <w:i/>
          <w:sz w:val="24"/>
          <w:szCs w:val="24"/>
        </w:rPr>
        <w:t>Indyka</w:t>
      </w:r>
      <w:proofErr w:type="spellEnd"/>
      <w:r>
        <w:rPr>
          <w:rStyle w:val="FootnoteReference"/>
          <w:rFonts w:ascii="Times New Roman" w:hAnsi="Times New Roman" w:cs="Times New Roman"/>
          <w:sz w:val="24"/>
          <w:szCs w:val="24"/>
        </w:rPr>
        <w:footnoteReference w:id="9"/>
      </w:r>
    </w:p>
    <w:p w:rsidR="00246696" w:rsidRDefault="00E71264" w:rsidP="00EB7700">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This states that a foreign decree should be recognised in England if there was a real and substantial connection between either the petitioner or the respondent and the foreign country in which the divorce was obtained. This rule was applied in subsequent cases such as that of </w:t>
      </w:r>
      <w:r w:rsidRPr="00E71264">
        <w:rPr>
          <w:rFonts w:ascii="Times New Roman" w:hAnsi="Times New Roman" w:cs="Times New Roman"/>
          <w:b/>
          <w:i/>
          <w:sz w:val="24"/>
          <w:szCs w:val="24"/>
        </w:rPr>
        <w:t>Blair v. Blair</w:t>
      </w:r>
      <w:r>
        <w:rPr>
          <w:rStyle w:val="FootnoteReference"/>
          <w:rFonts w:ascii="Times New Roman" w:hAnsi="Times New Roman" w:cs="Times New Roman"/>
          <w:sz w:val="24"/>
          <w:szCs w:val="24"/>
        </w:rPr>
        <w:footnoteReference w:id="10"/>
      </w:r>
      <w:r w:rsidR="00F03EF4">
        <w:rPr>
          <w:rFonts w:ascii="Times New Roman" w:hAnsi="Times New Roman" w:cs="Times New Roman"/>
          <w:sz w:val="24"/>
          <w:szCs w:val="24"/>
        </w:rPr>
        <w:t>.</w:t>
      </w:r>
    </w:p>
    <w:p w:rsidR="00F03EF4" w:rsidRPr="00F03EF4" w:rsidRDefault="00F03EF4" w:rsidP="00EB7700">
      <w:pPr>
        <w:pStyle w:val="ListParagraph"/>
        <w:spacing w:line="360" w:lineRule="auto"/>
        <w:ind w:left="1080"/>
        <w:jc w:val="both"/>
        <w:rPr>
          <w:rFonts w:ascii="Times New Roman" w:hAnsi="Times New Roman" w:cs="Times New Roman"/>
          <w:sz w:val="24"/>
          <w:szCs w:val="24"/>
        </w:rPr>
      </w:pPr>
    </w:p>
    <w:p w:rsidR="003F2261" w:rsidRDefault="00246696" w:rsidP="00EB7700">
      <w:pPr>
        <w:pStyle w:val="ListParagraph"/>
        <w:numPr>
          <w:ilvl w:val="0"/>
          <w:numId w:val="1"/>
        </w:numPr>
        <w:spacing w:line="360" w:lineRule="auto"/>
        <w:jc w:val="both"/>
        <w:rPr>
          <w:rFonts w:ascii="Times New Roman" w:hAnsi="Times New Roman" w:cs="Times New Roman"/>
          <w:sz w:val="24"/>
          <w:szCs w:val="24"/>
        </w:rPr>
      </w:pPr>
      <w:r w:rsidRPr="00F03EF4">
        <w:rPr>
          <w:rFonts w:ascii="Times New Roman" w:hAnsi="Times New Roman" w:cs="Times New Roman"/>
          <w:sz w:val="24"/>
          <w:szCs w:val="24"/>
        </w:rPr>
        <w:t>Explain succinctly, Mutation or Conversion of Marriage in Conflict of Laws.</w:t>
      </w:r>
    </w:p>
    <w:p w:rsidR="00F03EF4" w:rsidRDefault="003F5714" w:rsidP="00EB770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is </w:t>
      </w:r>
      <w:r w:rsidR="00CE1FDD">
        <w:rPr>
          <w:rFonts w:ascii="Times New Roman" w:hAnsi="Times New Roman" w:cs="Times New Roman"/>
          <w:sz w:val="24"/>
          <w:szCs w:val="24"/>
        </w:rPr>
        <w:t xml:space="preserve">put simply, </w:t>
      </w:r>
      <w:r>
        <w:rPr>
          <w:rFonts w:ascii="Times New Roman" w:hAnsi="Times New Roman" w:cs="Times New Roman"/>
          <w:sz w:val="24"/>
          <w:szCs w:val="24"/>
        </w:rPr>
        <w:t>change in the nature of a marriage.</w:t>
      </w:r>
      <w:r w:rsidR="00EB7700">
        <w:rPr>
          <w:rFonts w:ascii="Times New Roman" w:hAnsi="Times New Roman" w:cs="Times New Roman"/>
          <w:sz w:val="24"/>
          <w:szCs w:val="24"/>
        </w:rPr>
        <w:t xml:space="preserve"> This change may occur as a result of change of domicile or religious affiliations by the parties or by acts independent of their control such as operation of law (i.e., enactment of new legislation).</w:t>
      </w:r>
      <w:r>
        <w:rPr>
          <w:rFonts w:ascii="Times New Roman" w:hAnsi="Times New Roman" w:cs="Times New Roman"/>
          <w:sz w:val="24"/>
          <w:szCs w:val="24"/>
        </w:rPr>
        <w:t xml:space="preserve"> The former position as held in </w:t>
      </w:r>
      <w:r w:rsidRPr="003F5714">
        <w:rPr>
          <w:rFonts w:ascii="Times New Roman" w:hAnsi="Times New Roman" w:cs="Times New Roman"/>
          <w:b/>
          <w:i/>
          <w:sz w:val="24"/>
          <w:szCs w:val="24"/>
        </w:rPr>
        <w:t>Hyde v. Hyde</w:t>
      </w:r>
      <w:r w:rsidRPr="003F5714">
        <w:rPr>
          <w:rStyle w:val="FootnoteReference"/>
          <w:rFonts w:ascii="Times New Roman" w:hAnsi="Times New Roman" w:cs="Times New Roman"/>
          <w:b/>
          <w:i/>
          <w:sz w:val="24"/>
          <w:szCs w:val="24"/>
        </w:rPr>
        <w:footnoteReference w:id="11"/>
      </w:r>
      <w:r>
        <w:rPr>
          <w:rFonts w:ascii="Times New Roman" w:hAnsi="Times New Roman" w:cs="Times New Roman"/>
          <w:b/>
          <w:i/>
          <w:sz w:val="24"/>
          <w:szCs w:val="24"/>
        </w:rPr>
        <w:t xml:space="preserve"> </w:t>
      </w:r>
      <w:r w:rsidRPr="003F5714">
        <w:rPr>
          <w:rFonts w:ascii="Times New Roman" w:hAnsi="Times New Roman" w:cs="Times New Roman"/>
          <w:sz w:val="24"/>
          <w:szCs w:val="24"/>
        </w:rPr>
        <w:t xml:space="preserve">was that </w:t>
      </w:r>
      <w:r>
        <w:rPr>
          <w:rFonts w:ascii="Times New Roman" w:hAnsi="Times New Roman" w:cs="Times New Roman"/>
          <w:sz w:val="24"/>
          <w:szCs w:val="24"/>
        </w:rPr>
        <w:t>the nature of marriage was fixed irrevocab</w:t>
      </w:r>
      <w:r w:rsidR="00CE1FDD">
        <w:rPr>
          <w:rFonts w:ascii="Times New Roman" w:hAnsi="Times New Roman" w:cs="Times New Roman"/>
          <w:sz w:val="24"/>
          <w:szCs w:val="24"/>
        </w:rPr>
        <w:t xml:space="preserve">ly at the time of its inception. Subsequently, it was held that a marriage that is potentially polygamous at its inception may become monogamous as seen </w:t>
      </w:r>
      <w:proofErr w:type="spellStart"/>
      <w:r w:rsidR="00CE1FDD" w:rsidRPr="00CE1FDD">
        <w:rPr>
          <w:rFonts w:ascii="Times New Roman" w:hAnsi="Times New Roman" w:cs="Times New Roman"/>
          <w:b/>
          <w:i/>
          <w:sz w:val="24"/>
          <w:szCs w:val="24"/>
        </w:rPr>
        <w:t>Cheni</w:t>
      </w:r>
      <w:proofErr w:type="spellEnd"/>
      <w:r w:rsidR="00CE1FDD" w:rsidRPr="00CE1FDD">
        <w:rPr>
          <w:rFonts w:ascii="Times New Roman" w:hAnsi="Times New Roman" w:cs="Times New Roman"/>
          <w:b/>
          <w:i/>
          <w:sz w:val="24"/>
          <w:szCs w:val="24"/>
        </w:rPr>
        <w:t xml:space="preserve"> v. </w:t>
      </w:r>
      <w:proofErr w:type="spellStart"/>
      <w:r w:rsidR="00CE1FDD" w:rsidRPr="00CE1FDD">
        <w:rPr>
          <w:rFonts w:ascii="Times New Roman" w:hAnsi="Times New Roman" w:cs="Times New Roman"/>
          <w:b/>
          <w:i/>
          <w:sz w:val="24"/>
          <w:szCs w:val="24"/>
        </w:rPr>
        <w:t>Cheni</w:t>
      </w:r>
      <w:proofErr w:type="spellEnd"/>
      <w:r w:rsidR="00CE1FDD">
        <w:rPr>
          <w:rStyle w:val="FootnoteReference"/>
          <w:rFonts w:ascii="Times New Roman" w:hAnsi="Times New Roman" w:cs="Times New Roman"/>
          <w:b/>
          <w:i/>
          <w:sz w:val="24"/>
          <w:szCs w:val="24"/>
        </w:rPr>
        <w:footnoteReference w:id="12"/>
      </w:r>
      <w:r w:rsidR="00CE1FDD">
        <w:rPr>
          <w:rFonts w:ascii="Times New Roman" w:hAnsi="Times New Roman" w:cs="Times New Roman"/>
          <w:sz w:val="24"/>
          <w:szCs w:val="24"/>
        </w:rPr>
        <w:t>. The case, is diffe</w:t>
      </w:r>
      <w:r w:rsidR="00EB7700">
        <w:rPr>
          <w:rFonts w:ascii="Times New Roman" w:hAnsi="Times New Roman" w:cs="Times New Roman"/>
          <w:sz w:val="24"/>
          <w:szCs w:val="24"/>
        </w:rPr>
        <w:t>re</w:t>
      </w:r>
      <w:r w:rsidR="00CE1FDD">
        <w:rPr>
          <w:rFonts w:ascii="Times New Roman" w:hAnsi="Times New Roman" w:cs="Times New Roman"/>
          <w:sz w:val="24"/>
          <w:szCs w:val="24"/>
        </w:rPr>
        <w:t xml:space="preserve">nt for </w:t>
      </w:r>
      <w:r w:rsidR="00EB7700">
        <w:rPr>
          <w:rFonts w:ascii="Times New Roman" w:hAnsi="Times New Roman" w:cs="Times New Roman"/>
          <w:sz w:val="24"/>
          <w:szCs w:val="24"/>
        </w:rPr>
        <w:t xml:space="preserve">a </w:t>
      </w:r>
      <w:r w:rsidR="00CE1FDD">
        <w:rPr>
          <w:rFonts w:ascii="Times New Roman" w:hAnsi="Times New Roman" w:cs="Times New Roman"/>
          <w:sz w:val="24"/>
          <w:szCs w:val="24"/>
        </w:rPr>
        <w:t xml:space="preserve">marriage which </w:t>
      </w:r>
      <w:r w:rsidR="00EB7700">
        <w:rPr>
          <w:rFonts w:ascii="Times New Roman" w:hAnsi="Times New Roman" w:cs="Times New Roman"/>
          <w:sz w:val="24"/>
          <w:szCs w:val="24"/>
        </w:rPr>
        <w:t xml:space="preserve">is </w:t>
      </w:r>
      <w:r w:rsidR="00CE1FDD">
        <w:rPr>
          <w:rFonts w:ascii="Times New Roman" w:hAnsi="Times New Roman" w:cs="Times New Roman"/>
          <w:sz w:val="24"/>
          <w:szCs w:val="24"/>
        </w:rPr>
        <w:t>monogamous at inception. Even though the husband goes through</w:t>
      </w:r>
      <w:r w:rsidR="00EB7700">
        <w:rPr>
          <w:rFonts w:ascii="Times New Roman" w:hAnsi="Times New Roman" w:cs="Times New Roman"/>
          <w:sz w:val="24"/>
          <w:szCs w:val="24"/>
        </w:rPr>
        <w:t xml:space="preserve"> a valid polygamous ceremony of marriage, the status of the former monogamous marriage does not change as seen in the decision of the Privy Council in </w:t>
      </w:r>
      <w:r w:rsidR="00EB7700" w:rsidRPr="00EB7700">
        <w:rPr>
          <w:rFonts w:ascii="Times New Roman" w:hAnsi="Times New Roman" w:cs="Times New Roman"/>
          <w:b/>
          <w:i/>
          <w:sz w:val="24"/>
          <w:szCs w:val="24"/>
        </w:rPr>
        <w:t>AG of Ceylon v. Read</w:t>
      </w:r>
      <w:r w:rsidR="00EB7700">
        <w:rPr>
          <w:rStyle w:val="FootnoteReference"/>
          <w:rFonts w:ascii="Times New Roman" w:hAnsi="Times New Roman" w:cs="Times New Roman"/>
          <w:sz w:val="24"/>
          <w:szCs w:val="24"/>
        </w:rPr>
        <w:footnoteReference w:id="13"/>
      </w:r>
      <w:r w:rsidR="00EB7700">
        <w:rPr>
          <w:rFonts w:ascii="Times New Roman" w:hAnsi="Times New Roman" w:cs="Times New Roman"/>
          <w:sz w:val="24"/>
          <w:szCs w:val="24"/>
        </w:rPr>
        <w:t xml:space="preserve">. </w:t>
      </w:r>
    </w:p>
    <w:p w:rsidR="00EB7700" w:rsidRDefault="00EB7700" w:rsidP="00EB770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Acts that may lead to conversion of marriage include:</w:t>
      </w:r>
    </w:p>
    <w:p w:rsidR="00EB7700" w:rsidRDefault="00EB7700" w:rsidP="00EB770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Change of domicile </w:t>
      </w:r>
    </w:p>
    <w:p w:rsidR="00EB7700" w:rsidRDefault="00EB7700" w:rsidP="00EB770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Change of religious affiliations</w:t>
      </w:r>
      <w:r>
        <w:rPr>
          <w:rStyle w:val="FootnoteReference"/>
          <w:rFonts w:ascii="Times New Roman" w:hAnsi="Times New Roman" w:cs="Times New Roman"/>
          <w:sz w:val="24"/>
          <w:szCs w:val="24"/>
        </w:rPr>
        <w:footnoteReference w:id="14"/>
      </w:r>
    </w:p>
    <w:p w:rsidR="00EB7700" w:rsidRPr="00EB7700" w:rsidRDefault="00EB7700" w:rsidP="00EB770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Change in law of the country</w:t>
      </w:r>
      <w:r>
        <w:rPr>
          <w:rStyle w:val="FootnoteReference"/>
          <w:rFonts w:ascii="Times New Roman" w:hAnsi="Times New Roman" w:cs="Times New Roman"/>
          <w:sz w:val="24"/>
          <w:szCs w:val="24"/>
        </w:rPr>
        <w:footnoteReference w:id="15"/>
      </w:r>
    </w:p>
    <w:sectPr w:rsidR="00EB7700" w:rsidRPr="00EB77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8E" w:rsidRDefault="005D118E" w:rsidP="00B7792B">
      <w:pPr>
        <w:spacing w:after="0" w:line="240" w:lineRule="auto"/>
      </w:pPr>
      <w:r>
        <w:separator/>
      </w:r>
    </w:p>
  </w:endnote>
  <w:endnote w:type="continuationSeparator" w:id="0">
    <w:p w:rsidR="005D118E" w:rsidRDefault="005D118E" w:rsidP="00B7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8E" w:rsidRDefault="005D118E" w:rsidP="00B7792B">
      <w:pPr>
        <w:spacing w:after="0" w:line="240" w:lineRule="auto"/>
      </w:pPr>
      <w:r>
        <w:separator/>
      </w:r>
    </w:p>
  </w:footnote>
  <w:footnote w:type="continuationSeparator" w:id="0">
    <w:p w:rsidR="005D118E" w:rsidRDefault="005D118E" w:rsidP="00B7792B">
      <w:pPr>
        <w:spacing w:after="0" w:line="240" w:lineRule="auto"/>
      </w:pPr>
      <w:r>
        <w:continuationSeparator/>
      </w:r>
    </w:p>
  </w:footnote>
  <w:footnote w:id="1">
    <w:p w:rsidR="00B7792B" w:rsidRDefault="00B7792B">
      <w:pPr>
        <w:pStyle w:val="FootnoteText"/>
      </w:pPr>
      <w:r>
        <w:rPr>
          <w:rStyle w:val="FootnoteReference"/>
        </w:rPr>
        <w:footnoteRef/>
      </w:r>
      <w:r>
        <w:t xml:space="preserve"> </w:t>
      </w:r>
      <w:r w:rsidRPr="00B7792B">
        <w:t>AIR 1967, Goa, Daman and Diu, 113.</w:t>
      </w:r>
    </w:p>
  </w:footnote>
  <w:footnote w:id="2">
    <w:p w:rsidR="00C839ED" w:rsidRDefault="00C839ED">
      <w:pPr>
        <w:pStyle w:val="FootnoteText"/>
      </w:pPr>
      <w:r>
        <w:rPr>
          <w:rStyle w:val="FootnoteReference"/>
        </w:rPr>
        <w:footnoteRef/>
      </w:r>
      <w:r>
        <w:t xml:space="preserve"> (1968) P 314.</w:t>
      </w:r>
    </w:p>
  </w:footnote>
  <w:footnote w:id="3">
    <w:p w:rsidR="00C839ED" w:rsidRDefault="00C839ED">
      <w:pPr>
        <w:pStyle w:val="FootnoteText"/>
      </w:pPr>
      <w:r>
        <w:rPr>
          <w:rStyle w:val="FootnoteReference"/>
        </w:rPr>
        <w:footnoteRef/>
      </w:r>
      <w:r>
        <w:t xml:space="preserve"> (1968) 2 QB 956.</w:t>
      </w:r>
    </w:p>
  </w:footnote>
  <w:footnote w:id="4">
    <w:p w:rsidR="00C839ED" w:rsidRDefault="00C839ED">
      <w:pPr>
        <w:pStyle w:val="FootnoteText"/>
      </w:pPr>
      <w:r>
        <w:rPr>
          <w:rStyle w:val="FootnoteReference"/>
        </w:rPr>
        <w:footnoteRef/>
      </w:r>
      <w:r>
        <w:t xml:space="preserve"> (1985) Fam 106.</w:t>
      </w:r>
    </w:p>
  </w:footnote>
  <w:footnote w:id="5">
    <w:p w:rsidR="00C839ED" w:rsidRDefault="00C839ED">
      <w:pPr>
        <w:pStyle w:val="FootnoteText"/>
      </w:pPr>
      <w:r>
        <w:rPr>
          <w:rStyle w:val="FootnoteReference"/>
        </w:rPr>
        <w:footnoteRef/>
      </w:r>
      <w:r>
        <w:t xml:space="preserve"> (1930) 2 D.L.R. 940.</w:t>
      </w:r>
    </w:p>
  </w:footnote>
  <w:footnote w:id="6">
    <w:p w:rsidR="00C839ED" w:rsidRDefault="00C839ED">
      <w:pPr>
        <w:pStyle w:val="FootnoteText"/>
      </w:pPr>
      <w:r>
        <w:rPr>
          <w:rStyle w:val="FootnoteReference"/>
        </w:rPr>
        <w:footnoteRef/>
      </w:r>
      <w:r>
        <w:t xml:space="preserve"> (1977) Fam 208.</w:t>
      </w:r>
    </w:p>
  </w:footnote>
  <w:footnote w:id="7">
    <w:p w:rsidR="00475F48" w:rsidRDefault="00475F48">
      <w:pPr>
        <w:pStyle w:val="FootnoteText"/>
      </w:pPr>
      <w:r>
        <w:rPr>
          <w:rStyle w:val="FootnoteReference"/>
        </w:rPr>
        <w:footnoteRef/>
      </w:r>
      <w:r>
        <w:t xml:space="preserve"> (1953) P 246.</w:t>
      </w:r>
    </w:p>
  </w:footnote>
  <w:footnote w:id="8">
    <w:p w:rsidR="00F63438" w:rsidRDefault="00F63438">
      <w:pPr>
        <w:pStyle w:val="FootnoteText"/>
      </w:pPr>
      <w:r>
        <w:rPr>
          <w:rStyle w:val="FootnoteReference"/>
        </w:rPr>
        <w:footnoteRef/>
      </w:r>
      <w:r>
        <w:t xml:space="preserve"> CAP. M7 Laws of the Federation of Nigeria 2004.</w:t>
      </w:r>
    </w:p>
  </w:footnote>
  <w:footnote w:id="9">
    <w:p w:rsidR="00E71264" w:rsidRDefault="00E71264">
      <w:pPr>
        <w:pStyle w:val="FootnoteText"/>
      </w:pPr>
      <w:r>
        <w:rPr>
          <w:rStyle w:val="FootnoteReference"/>
        </w:rPr>
        <w:footnoteRef/>
      </w:r>
      <w:r>
        <w:t xml:space="preserve"> (1969) 1 AC 33. </w:t>
      </w:r>
    </w:p>
  </w:footnote>
  <w:footnote w:id="10">
    <w:p w:rsidR="00E71264" w:rsidRDefault="00E71264">
      <w:pPr>
        <w:pStyle w:val="FootnoteText"/>
      </w:pPr>
      <w:r>
        <w:rPr>
          <w:rStyle w:val="FootnoteReference"/>
        </w:rPr>
        <w:footnoteRef/>
      </w:r>
      <w:r>
        <w:t xml:space="preserve"> </w:t>
      </w:r>
      <w:r w:rsidRPr="00E71264">
        <w:t>(1969) 1 WLR 221</w:t>
      </w:r>
      <w:r>
        <w:t>.</w:t>
      </w:r>
    </w:p>
  </w:footnote>
  <w:footnote w:id="11">
    <w:p w:rsidR="003F5714" w:rsidRDefault="003F5714">
      <w:pPr>
        <w:pStyle w:val="FootnoteText"/>
      </w:pPr>
      <w:r>
        <w:rPr>
          <w:rStyle w:val="FootnoteReference"/>
        </w:rPr>
        <w:footnoteRef/>
      </w:r>
      <w:r>
        <w:t xml:space="preserve"> (1866) LR 1 P </w:t>
      </w:r>
      <w:proofErr w:type="gramStart"/>
      <w:r>
        <w:t>&amp;  130</w:t>
      </w:r>
      <w:proofErr w:type="gramEnd"/>
      <w:r>
        <w:t>.</w:t>
      </w:r>
    </w:p>
  </w:footnote>
  <w:footnote w:id="12">
    <w:p w:rsidR="00CE1FDD" w:rsidRDefault="00CE1FDD">
      <w:pPr>
        <w:pStyle w:val="FootnoteText"/>
      </w:pPr>
      <w:r>
        <w:rPr>
          <w:rStyle w:val="FootnoteReference"/>
        </w:rPr>
        <w:footnoteRef/>
      </w:r>
      <w:r>
        <w:t xml:space="preserve"> (1965) P 85 (Simon P). </w:t>
      </w:r>
    </w:p>
  </w:footnote>
  <w:footnote w:id="13">
    <w:p w:rsidR="00EB7700" w:rsidRDefault="00EB7700">
      <w:pPr>
        <w:pStyle w:val="FootnoteText"/>
      </w:pPr>
      <w:r>
        <w:rPr>
          <w:rStyle w:val="FootnoteReference"/>
        </w:rPr>
        <w:footnoteRef/>
      </w:r>
      <w:r>
        <w:t xml:space="preserve"> (1965) AC 720; 1 All ER 812.</w:t>
      </w:r>
    </w:p>
  </w:footnote>
  <w:footnote w:id="14">
    <w:p w:rsidR="00EB7700" w:rsidRDefault="00EB7700">
      <w:pPr>
        <w:pStyle w:val="FootnoteText"/>
      </w:pPr>
      <w:r>
        <w:rPr>
          <w:rStyle w:val="FootnoteReference"/>
        </w:rPr>
        <w:footnoteRef/>
      </w:r>
      <w:r>
        <w:t xml:space="preserve"> </w:t>
      </w:r>
      <w:r w:rsidR="009C2140" w:rsidRPr="009C2140">
        <w:t xml:space="preserve">AG of Ceylon v. </w:t>
      </w:r>
      <w:r w:rsidR="009C2140" w:rsidRPr="009C2140">
        <w:t>Read</w:t>
      </w:r>
      <w:r w:rsidR="009C2140">
        <w:t xml:space="preserve"> (supra) </w:t>
      </w:r>
      <w:bookmarkStart w:id="0" w:name="_GoBack"/>
      <w:bookmarkEnd w:id="0"/>
    </w:p>
  </w:footnote>
  <w:footnote w:id="15">
    <w:p w:rsidR="00EB7700" w:rsidRDefault="00EB7700">
      <w:pPr>
        <w:pStyle w:val="FootnoteText"/>
      </w:pPr>
      <w:r>
        <w:rPr>
          <w:rStyle w:val="FootnoteReference"/>
        </w:rPr>
        <w:footnoteRef/>
      </w:r>
      <w:r>
        <w:t xml:space="preserve"> As seen in </w:t>
      </w:r>
      <w:proofErr w:type="spellStart"/>
      <w:r>
        <w:t>Parkasho</w:t>
      </w:r>
      <w:proofErr w:type="spellEnd"/>
      <w:r>
        <w:t xml:space="preserve"> v. Singh where a potentially polygamous marriage was made monogamous by the Hindu Marriage Act 1955.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7C7B"/>
    <w:multiLevelType w:val="hybridMultilevel"/>
    <w:tmpl w:val="E550D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E44EE"/>
    <w:multiLevelType w:val="hybridMultilevel"/>
    <w:tmpl w:val="683AEC16"/>
    <w:lvl w:ilvl="0" w:tplc="05DC3B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E8705A"/>
    <w:multiLevelType w:val="hybridMultilevel"/>
    <w:tmpl w:val="653E9290"/>
    <w:lvl w:ilvl="0" w:tplc="85404D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96"/>
    <w:rsid w:val="00076F86"/>
    <w:rsid w:val="00246696"/>
    <w:rsid w:val="003536C9"/>
    <w:rsid w:val="003F5714"/>
    <w:rsid w:val="00475F48"/>
    <w:rsid w:val="005D118E"/>
    <w:rsid w:val="006A0925"/>
    <w:rsid w:val="009C2140"/>
    <w:rsid w:val="00A74024"/>
    <w:rsid w:val="00B7792B"/>
    <w:rsid w:val="00C839ED"/>
    <w:rsid w:val="00CE1FDD"/>
    <w:rsid w:val="00E71264"/>
    <w:rsid w:val="00EB7700"/>
    <w:rsid w:val="00EF7682"/>
    <w:rsid w:val="00F03EF4"/>
    <w:rsid w:val="00F6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9B48"/>
  <w15:chartTrackingRefBased/>
  <w15:docId w15:val="{96968D1F-7554-4F20-8427-302C0387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96"/>
    <w:pPr>
      <w:ind w:left="720"/>
      <w:contextualSpacing/>
    </w:pPr>
  </w:style>
  <w:style w:type="paragraph" w:styleId="FootnoteText">
    <w:name w:val="footnote text"/>
    <w:basedOn w:val="Normal"/>
    <w:link w:val="FootnoteTextChar"/>
    <w:uiPriority w:val="99"/>
    <w:semiHidden/>
    <w:unhideWhenUsed/>
    <w:rsid w:val="00B779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92B"/>
    <w:rPr>
      <w:sz w:val="20"/>
      <w:szCs w:val="20"/>
    </w:rPr>
  </w:style>
  <w:style w:type="character" w:styleId="FootnoteReference">
    <w:name w:val="footnote reference"/>
    <w:basedOn w:val="DefaultParagraphFont"/>
    <w:uiPriority w:val="99"/>
    <w:semiHidden/>
    <w:unhideWhenUsed/>
    <w:rsid w:val="00B77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885D-83E6-4C21-8947-3E49AA18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Chukwunweike Araka</dc:creator>
  <cp:keywords/>
  <dc:description/>
  <cp:lastModifiedBy>Chukwunweike Araka</cp:lastModifiedBy>
  <cp:revision>1</cp:revision>
  <dcterms:created xsi:type="dcterms:W3CDTF">2020-04-29T13:09:00Z</dcterms:created>
  <dcterms:modified xsi:type="dcterms:W3CDTF">2020-04-29T15:48:00Z</dcterms:modified>
</cp:coreProperties>
</file>