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24" w:rsidRPr="00B958E8" w:rsidRDefault="00603724" w:rsidP="00C34098">
      <w:pPr>
        <w:spacing w:line="360" w:lineRule="auto"/>
        <w:ind w:left="720"/>
        <w:rPr>
          <w:rFonts w:ascii="Times New Roman" w:hAnsi="Times New Roman" w:cs="Times New Roman"/>
          <w:sz w:val="24"/>
          <w:szCs w:val="24"/>
        </w:rPr>
      </w:pPr>
      <w:bookmarkStart w:id="0" w:name="_GoBack"/>
      <w:bookmarkEnd w:id="0"/>
    </w:p>
    <w:p w:rsidR="00F76B79" w:rsidRDefault="00F76B79" w:rsidP="00F76B79">
      <w:pPr>
        <w:spacing w:line="360" w:lineRule="auto"/>
        <w:ind w:left="720"/>
        <w:rPr>
          <w:rFonts w:ascii="Times New Roman" w:hAnsi="Times New Roman" w:cs="Times New Roman"/>
          <w:sz w:val="32"/>
          <w:szCs w:val="32"/>
        </w:rPr>
      </w:pPr>
      <w:r>
        <w:rPr>
          <w:rFonts w:ascii="Times New Roman" w:hAnsi="Times New Roman" w:cs="Times New Roman"/>
          <w:sz w:val="32"/>
          <w:szCs w:val="32"/>
        </w:rPr>
        <w:t>NAME: EZIKEOHA DORIS CHIDINMA</w:t>
      </w:r>
    </w:p>
    <w:p w:rsidR="00F76B79" w:rsidRDefault="00F76B79" w:rsidP="00F76B79">
      <w:pPr>
        <w:spacing w:line="360" w:lineRule="auto"/>
        <w:ind w:left="720"/>
        <w:rPr>
          <w:rFonts w:ascii="Times New Roman" w:hAnsi="Times New Roman" w:cs="Times New Roman"/>
          <w:sz w:val="32"/>
          <w:szCs w:val="32"/>
        </w:rPr>
      </w:pPr>
      <w:r>
        <w:rPr>
          <w:rFonts w:ascii="Times New Roman" w:hAnsi="Times New Roman" w:cs="Times New Roman"/>
          <w:sz w:val="32"/>
          <w:szCs w:val="32"/>
        </w:rPr>
        <w:t>MATRIC NO: 18/SMS09/042</w:t>
      </w:r>
    </w:p>
    <w:p w:rsidR="00F76B79" w:rsidRDefault="00F76B79" w:rsidP="00F76B79">
      <w:pPr>
        <w:spacing w:line="360" w:lineRule="auto"/>
        <w:ind w:left="720"/>
        <w:rPr>
          <w:rFonts w:ascii="Times New Roman" w:hAnsi="Times New Roman" w:cs="Times New Roman"/>
          <w:sz w:val="32"/>
          <w:szCs w:val="32"/>
        </w:rPr>
      </w:pPr>
      <w:r>
        <w:rPr>
          <w:rFonts w:ascii="Times New Roman" w:hAnsi="Times New Roman" w:cs="Times New Roman"/>
          <w:sz w:val="32"/>
          <w:szCs w:val="32"/>
        </w:rPr>
        <w:t>DEPARTMENT: INTERNATIONAL RELATIONS AND DIPLOMACY</w:t>
      </w:r>
    </w:p>
    <w:p w:rsidR="00F76B79" w:rsidRDefault="00F76B79" w:rsidP="00F76B79">
      <w:pPr>
        <w:spacing w:line="360" w:lineRule="auto"/>
        <w:ind w:left="720"/>
        <w:rPr>
          <w:rFonts w:ascii="Times New Roman" w:hAnsi="Times New Roman" w:cs="Times New Roman"/>
          <w:sz w:val="32"/>
          <w:szCs w:val="32"/>
        </w:rPr>
      </w:pPr>
      <w:r>
        <w:rPr>
          <w:rFonts w:ascii="Times New Roman" w:hAnsi="Times New Roman" w:cs="Times New Roman"/>
          <w:sz w:val="32"/>
          <w:szCs w:val="32"/>
        </w:rPr>
        <w:t xml:space="preserve">LEVEL: 200L </w:t>
      </w:r>
    </w:p>
    <w:p w:rsidR="00F76B79" w:rsidRDefault="00F76B79" w:rsidP="00F76B79">
      <w:pPr>
        <w:spacing w:line="360" w:lineRule="auto"/>
        <w:ind w:left="720"/>
        <w:rPr>
          <w:rFonts w:ascii="Times New Roman" w:hAnsi="Times New Roman" w:cs="Times New Roman"/>
          <w:sz w:val="32"/>
          <w:szCs w:val="32"/>
        </w:rPr>
      </w:pPr>
      <w:r>
        <w:rPr>
          <w:rFonts w:ascii="Times New Roman" w:hAnsi="Times New Roman" w:cs="Times New Roman"/>
          <w:sz w:val="32"/>
          <w:szCs w:val="32"/>
        </w:rPr>
        <w:t>COURSE: IRD 214</w:t>
      </w:r>
    </w:p>
    <w:p w:rsidR="00F76B79" w:rsidRDefault="00F76B79" w:rsidP="00F76B79">
      <w:pPr>
        <w:spacing w:line="360" w:lineRule="auto"/>
        <w:ind w:left="720"/>
        <w:rPr>
          <w:rFonts w:ascii="Times New Roman" w:hAnsi="Times New Roman" w:cs="Times New Roman"/>
          <w:sz w:val="32"/>
          <w:szCs w:val="32"/>
        </w:rPr>
      </w:pPr>
      <w:r>
        <w:rPr>
          <w:rFonts w:ascii="Times New Roman" w:hAnsi="Times New Roman" w:cs="Times New Roman"/>
          <w:sz w:val="32"/>
          <w:szCs w:val="32"/>
        </w:rPr>
        <w:t xml:space="preserve">QUESTION: DISCUSS THE STAGES OF INSURGENCY IN NOT MORE THAN 3 PAGES </w:t>
      </w:r>
    </w:p>
    <w:p w:rsidR="00F76B79" w:rsidRPr="00F76B79" w:rsidRDefault="00F76B79" w:rsidP="00F76B79">
      <w:pPr>
        <w:spacing w:line="360" w:lineRule="auto"/>
        <w:ind w:left="720"/>
        <w:rPr>
          <w:rFonts w:ascii="Times New Roman" w:hAnsi="Times New Roman" w:cs="Times New Roman"/>
          <w:sz w:val="32"/>
          <w:szCs w:val="32"/>
        </w:rPr>
      </w:pPr>
    </w:p>
    <w:p w:rsidR="000F185B" w:rsidRPr="00B958E8" w:rsidRDefault="000F185B" w:rsidP="00C34098">
      <w:pPr>
        <w:spacing w:line="360" w:lineRule="auto"/>
        <w:ind w:left="720"/>
        <w:rPr>
          <w:rFonts w:ascii="Times New Roman" w:hAnsi="Times New Roman" w:cs="Times New Roman"/>
          <w:sz w:val="24"/>
          <w:szCs w:val="24"/>
        </w:rPr>
      </w:pPr>
    </w:p>
    <w:p w:rsidR="000F185B" w:rsidRPr="00B958E8" w:rsidRDefault="000F185B" w:rsidP="00C34098">
      <w:pPr>
        <w:spacing w:line="360" w:lineRule="auto"/>
        <w:ind w:left="720"/>
        <w:rPr>
          <w:rFonts w:ascii="Times New Roman" w:hAnsi="Times New Roman" w:cs="Times New Roman"/>
          <w:sz w:val="24"/>
          <w:szCs w:val="24"/>
        </w:rPr>
      </w:pPr>
    </w:p>
    <w:p w:rsidR="000F185B" w:rsidRPr="00B958E8" w:rsidRDefault="000F185B" w:rsidP="00C34098">
      <w:pPr>
        <w:spacing w:line="360" w:lineRule="auto"/>
        <w:ind w:left="720"/>
        <w:rPr>
          <w:rFonts w:ascii="Times New Roman" w:hAnsi="Times New Roman" w:cs="Times New Roman"/>
          <w:sz w:val="24"/>
          <w:szCs w:val="24"/>
        </w:rPr>
      </w:pPr>
    </w:p>
    <w:p w:rsidR="000F185B" w:rsidRPr="00B958E8" w:rsidRDefault="000F185B" w:rsidP="00C34098">
      <w:pPr>
        <w:spacing w:line="360" w:lineRule="auto"/>
        <w:ind w:left="720"/>
        <w:rPr>
          <w:rFonts w:ascii="Times New Roman" w:hAnsi="Times New Roman" w:cs="Times New Roman"/>
          <w:sz w:val="24"/>
          <w:szCs w:val="24"/>
        </w:rPr>
      </w:pPr>
    </w:p>
    <w:p w:rsidR="000F185B" w:rsidRPr="00B958E8" w:rsidRDefault="000F185B" w:rsidP="00C34098">
      <w:pPr>
        <w:spacing w:line="360" w:lineRule="auto"/>
        <w:ind w:left="720"/>
        <w:rPr>
          <w:rFonts w:ascii="Times New Roman" w:hAnsi="Times New Roman" w:cs="Times New Roman"/>
          <w:sz w:val="24"/>
          <w:szCs w:val="24"/>
        </w:rPr>
      </w:pPr>
    </w:p>
    <w:p w:rsidR="000F185B" w:rsidRPr="00B958E8" w:rsidRDefault="000F185B" w:rsidP="00C34098">
      <w:pPr>
        <w:spacing w:line="360" w:lineRule="auto"/>
        <w:ind w:left="720"/>
        <w:rPr>
          <w:rFonts w:ascii="Times New Roman" w:hAnsi="Times New Roman" w:cs="Times New Roman"/>
          <w:sz w:val="24"/>
          <w:szCs w:val="24"/>
        </w:rPr>
      </w:pPr>
    </w:p>
    <w:p w:rsidR="000F185B" w:rsidRPr="00B958E8" w:rsidRDefault="000F185B" w:rsidP="00C34098">
      <w:pPr>
        <w:spacing w:line="360" w:lineRule="auto"/>
        <w:ind w:left="720"/>
        <w:rPr>
          <w:rFonts w:ascii="Times New Roman" w:hAnsi="Times New Roman" w:cs="Times New Roman"/>
          <w:sz w:val="24"/>
          <w:szCs w:val="24"/>
        </w:rPr>
      </w:pPr>
    </w:p>
    <w:p w:rsidR="000F185B" w:rsidRPr="00B958E8" w:rsidRDefault="000F185B" w:rsidP="00C34098">
      <w:pPr>
        <w:spacing w:line="360" w:lineRule="auto"/>
        <w:ind w:left="720"/>
        <w:rPr>
          <w:rFonts w:ascii="Times New Roman" w:hAnsi="Times New Roman" w:cs="Times New Roman"/>
          <w:sz w:val="24"/>
          <w:szCs w:val="24"/>
        </w:rPr>
      </w:pPr>
    </w:p>
    <w:p w:rsidR="000F185B" w:rsidRPr="00B958E8" w:rsidRDefault="000F185B" w:rsidP="00C34098">
      <w:pPr>
        <w:spacing w:line="360" w:lineRule="auto"/>
        <w:ind w:left="720"/>
        <w:rPr>
          <w:rFonts w:ascii="Times New Roman" w:hAnsi="Times New Roman" w:cs="Times New Roman"/>
          <w:sz w:val="24"/>
          <w:szCs w:val="24"/>
        </w:rPr>
      </w:pPr>
    </w:p>
    <w:p w:rsidR="000F185B" w:rsidRPr="00B958E8" w:rsidRDefault="000F185B" w:rsidP="00C34098">
      <w:pPr>
        <w:spacing w:line="360" w:lineRule="auto"/>
        <w:ind w:left="720"/>
        <w:rPr>
          <w:rFonts w:ascii="Times New Roman" w:hAnsi="Times New Roman" w:cs="Times New Roman"/>
          <w:sz w:val="24"/>
          <w:szCs w:val="24"/>
        </w:rPr>
      </w:pP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lastRenderedPageBreak/>
        <w:t>An insurgence may be an extended political-military battle coordinated toward subverting or uprooting the authenticity of a constituted government or occupying control and totally or somewhat controlling the assets of a domain through the use of sporadic military strengths and unlawful political organizations. The common denominator for most insurgents is their objective of picking up control of a populace or a specific territory, including its assets. This objective separates insurgents from terrorists’ organizations. It is worth noticing that distinguishing a movement as an insurgence does not pass on a regulating judgment on the legitimacy of the development or its cause; the term insurgence is essentially a description of the nature of the conflict.</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Insurgency could be a violent political battle for the control of individuals and resources. Insurgent groups regularly seek after a few common goals to undermine the authenticity of the government and support their standing with the populace. Insurgents seek to: - Undercut the capacity of the government to supply the population security and open administrations, counting utilities, education, and justice. An insurgent group may endeavor to supplant the government by providing elective administrations to the individuals, or it may be substance to portray the government as impotent. - Get the dynamic or inactive back of the populace. Not all support has to be—or is likely to be—gained from genuine sympathizers; fear and intimidation can pick up the passive consent of numerous people. - Incite the government into committing abuses that drive neutral civilians toward the insurgents and set the devotion of insurgent supporters. - Weaken universal support for the government and, in case possible, gain worldwide acknowledgment or help for the insurgency. Insurgency is fundamentally a political competition for legitimacy, but the violent aspect of the battle most regularly alarms eyewitnesses to the insurgency’s existence. Insurgent warfare is characterized by a need for front lines, sequenced struggles, or campaigns; an extended methodology, frequently enduring more than a decade; and flighty military strategies, counting guerrilla warfare, terrorism, or ethnic cleansing. The difference between civilians and combatants is obscured in an insurgency, regularly coming about in proportionally higher civilian casualties than endured in ordinary conflicts.</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THE STAGES OF INSURGENCY</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Each insurgency is different—shaped by conflict-specific variables such as culture, grievance, and history—but insurgencies regularly advance through certain common phases of advancement. Not each insurgenc</w:t>
      </w:r>
      <w:r w:rsidR="000C3599">
        <w:rPr>
          <w:rFonts w:ascii="Times New Roman" w:hAnsi="Times New Roman" w:cs="Times New Roman"/>
          <w:sz w:val="24"/>
          <w:szCs w:val="24"/>
        </w:rPr>
        <w:t>y will pass through each stage</w:t>
      </w:r>
      <w:r w:rsidRPr="00F76B79">
        <w:rPr>
          <w:rFonts w:ascii="Times New Roman" w:hAnsi="Times New Roman" w:cs="Times New Roman"/>
          <w:sz w:val="24"/>
          <w:szCs w:val="24"/>
        </w:rPr>
        <w:t>; a few will skip stages, others will return to prior stages, and a few will pass on out sometime recently coming to the afterward stages. Additionally, the sum of time required to advance through a given phase is likely to vary. The characteristics of an insurgency will moreover be case particular and fluid. All things considered, a few common components will help analysts in assessing an insurgency through its life cycle. Variables for investigation are distinguished for each phase, but these components are both continuous and cumulative. As an insurgency progresses through the stages, pointers from prior stages will stay significant, as will how the variables construct on each other.</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Preinsurgency Stage</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A conflict within the preinsurgency stage is troublesome to identify since most exercises are underground and the insurgency has however to create its presence felt through the utilization of violence. Besides, activities conducted within the open can effortlessly be rejected as peaceful political action. Amid this stage, an insurgent development is starting to organize: leadership is developing, and the insurgents are setting up a grievance and a group identity, starting to select and prepare individuals, and stockpiling arms and supplies.</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Incipient Conflict Stage</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A struggle enters the incipient conflict stage when the insurgents start to use violence. Frequently these initial assaults give examiners the first caution to the potential for an insurgency. The target government, in any case, frequently dismisses insurgent activities as the work of outlaws, offenders, or terrorists, which increases the chance that the government will utilize counterproductive measures. The incipient stage is the foremost perilous stage for insurgents; they have made their presence felt through initial assaults, but they are still powerless and organizing. An early insurgency must adjust the need to conduct attacks to illustrate its practicality, publicize its cause, rally supporters, and incite a government eruption whereas restricting its exposure to government security powers. Insurgents may emphasize profoundly asymmetric and terrorist strategies, such as kidnappings, little bombings, deaths, and night letters amid this stage. Understanding the characteristics, capabilities, and activities of both the insurgents and the government can help examiners evaluate whether an early conflict is likely to sputter out or expand into a full-blown insurgency.</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Open Insurgency Stage </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At this stage, no question exists that the government is confronting an insurgency. Politically, the insurgents are obviously challenging state authority and attempting to apply control over the region. Militarily, the insurgents are staging more assaults, which have likely ended up more aggressive, violent, and advanced and include bigger numbers of fighters. As the insurgency gets to be more dynamic, external support for the belligerents likely gets to be more clear, in case it exists</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Resolution Stage </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Some insurgencies advance relentlessly through the life cycle stages; many grow in fits and begins, sometimes relapsing to prior stages; and others stay soiled in one stage for decades. In hypothesis, an insurgency will inevitably reach a conclusion, either an insurgent triumph, a negotiated settlement, or a government triumph. At the slightest 130 insurgent conflicts have occurred since World War II—estimations change broadly and go as high as about 300 insurgent-government conflicts—and at the slightest two dozen were progressing as of late 2011. The normal length of these continuing insurgencies is more than 21 a long time. Of the insurgencies that have ended: </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 Almost 36 percent concluded with an insurgent triumph after an average duration of approximately 10 years</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 - Nearly 28 percent had blended results, for the most part since the belligerents come to a compromise that required all to form significant concessions. These insurgencies endured an average of approximately 8 years. </w:t>
      </w:r>
    </w:p>
    <w:p w:rsidR="00F76B79" w:rsidRPr="00F76B79" w:rsidRDefault="00F76B79" w:rsidP="00F76B79">
      <w:pPr>
        <w:spacing w:line="360" w:lineRule="auto"/>
        <w:rPr>
          <w:rFonts w:ascii="Times New Roman" w:hAnsi="Times New Roman" w:cs="Times New Roman"/>
          <w:sz w:val="24"/>
          <w:szCs w:val="24"/>
        </w:rPr>
      </w:pPr>
      <w:r w:rsidRPr="00F76B79">
        <w:rPr>
          <w:rFonts w:ascii="Times New Roman" w:hAnsi="Times New Roman" w:cs="Times New Roman"/>
          <w:sz w:val="24"/>
          <w:szCs w:val="24"/>
        </w:rPr>
        <w:t>-Approximately 36 percent resulted in a government victory after an average duration of almost 12 years.</w:t>
      </w:r>
    </w:p>
    <w:p w:rsidR="00F76B79" w:rsidRDefault="00F76B79" w:rsidP="00F76B79">
      <w:pPr>
        <w:spacing w:line="36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977673399"/>
        <w:docPartObj>
          <w:docPartGallery w:val="Bibliographies"/>
          <w:docPartUnique/>
        </w:docPartObj>
      </w:sdtPr>
      <w:sdtEndPr/>
      <w:sdtContent>
        <w:p w:rsidR="00812A67" w:rsidRPr="00812A67" w:rsidRDefault="00703B9A">
          <w:pPr>
            <w:pStyle w:val="Heading1"/>
          </w:pPr>
          <w:r>
            <w:t>References</w:t>
          </w:r>
        </w:p>
        <w:sdt>
          <w:sdtPr>
            <w:id w:val="111145805"/>
            <w:bibliography/>
          </w:sdtPr>
          <w:sdtEndPr/>
          <w:sdtContent>
            <w:p w:rsidR="00703B9A" w:rsidRDefault="00703B9A" w:rsidP="00812A67">
              <w:pPr>
                <w:pStyle w:val="Bibliography"/>
                <w:ind w:left="720" w:hanging="720"/>
              </w:pPr>
            </w:p>
            <w:p w:rsidR="00812A67" w:rsidRPr="00703B9A" w:rsidRDefault="00812A67" w:rsidP="00812A67">
              <w:pPr>
                <w:pStyle w:val="Bibliography"/>
                <w:ind w:left="720" w:hanging="720"/>
                <w:rPr>
                  <w:rFonts w:ascii="Times New Roman" w:hAnsi="Times New Roman" w:cs="Times New Roman"/>
                  <w:noProof/>
                  <w:sz w:val="24"/>
                  <w:szCs w:val="24"/>
                </w:rPr>
              </w:pPr>
              <w:r w:rsidRPr="00703B9A">
                <w:rPr>
                  <w:rFonts w:ascii="Times New Roman" w:hAnsi="Times New Roman" w:cs="Times New Roman"/>
                  <w:sz w:val="24"/>
                  <w:szCs w:val="24"/>
                </w:rPr>
                <w:fldChar w:fldCharType="begin"/>
              </w:r>
              <w:r w:rsidRPr="00703B9A">
                <w:rPr>
                  <w:rFonts w:ascii="Times New Roman" w:hAnsi="Times New Roman" w:cs="Times New Roman"/>
                  <w:sz w:val="24"/>
                  <w:szCs w:val="24"/>
                </w:rPr>
                <w:instrText xml:space="preserve"> BIBLIOGRAPHY </w:instrText>
              </w:r>
              <w:r w:rsidRPr="00703B9A">
                <w:rPr>
                  <w:rFonts w:ascii="Times New Roman" w:hAnsi="Times New Roman" w:cs="Times New Roman"/>
                  <w:sz w:val="24"/>
                  <w:szCs w:val="24"/>
                </w:rPr>
                <w:fldChar w:fldCharType="separate"/>
              </w:r>
              <w:r w:rsidRPr="00703B9A">
                <w:rPr>
                  <w:rFonts w:ascii="Times New Roman" w:hAnsi="Times New Roman" w:cs="Times New Roman"/>
                  <w:noProof/>
                  <w:sz w:val="24"/>
                  <w:szCs w:val="24"/>
                </w:rPr>
                <w:t xml:space="preserve">Kilcullen, D. (2011). </w:t>
              </w:r>
              <w:r w:rsidRPr="00703B9A">
                <w:rPr>
                  <w:rFonts w:ascii="Times New Roman" w:hAnsi="Times New Roman" w:cs="Times New Roman"/>
                  <w:iCs/>
                  <w:noProof/>
                  <w:sz w:val="24"/>
                  <w:szCs w:val="24"/>
                </w:rPr>
                <w:t>The Accidental Guerrilla: Fighting Small Wars in the Midst of a Big One.</w:t>
              </w:r>
              <w:r w:rsidRPr="00703B9A">
                <w:rPr>
                  <w:rFonts w:ascii="Times New Roman" w:hAnsi="Times New Roman" w:cs="Times New Roman"/>
                  <w:noProof/>
                  <w:sz w:val="24"/>
                  <w:szCs w:val="24"/>
                </w:rPr>
                <w:t xml:space="preserve"> NY: Oxford University Press.</w:t>
              </w:r>
            </w:p>
            <w:p w:rsidR="00812A67" w:rsidRPr="00703B9A" w:rsidRDefault="00812A67" w:rsidP="00812A67">
              <w:pPr>
                <w:pStyle w:val="Bibliography"/>
                <w:spacing w:before="240"/>
                <w:ind w:left="720" w:hanging="720"/>
                <w:rPr>
                  <w:rFonts w:ascii="Times New Roman" w:hAnsi="Times New Roman" w:cs="Times New Roman"/>
                  <w:bCs/>
                  <w:noProof/>
                  <w:sz w:val="24"/>
                  <w:szCs w:val="24"/>
                </w:rPr>
              </w:pPr>
              <w:r w:rsidRPr="00703B9A">
                <w:rPr>
                  <w:rFonts w:ascii="Times New Roman" w:hAnsi="Times New Roman" w:cs="Times New Roman"/>
                  <w:bCs/>
                  <w:noProof/>
                  <w:sz w:val="24"/>
                  <w:szCs w:val="24"/>
                </w:rPr>
                <w:fldChar w:fldCharType="end"/>
              </w:r>
              <w:r w:rsidRPr="00703B9A">
                <w:rPr>
                  <w:rFonts w:ascii="Times New Roman" w:hAnsi="Times New Roman" w:cs="Times New Roman"/>
                  <w:bCs/>
                  <w:noProof/>
                  <w:sz w:val="24"/>
                  <w:szCs w:val="24"/>
                </w:rPr>
                <w:t>Artur B, Francesco T B &amp; Steven H, (2013). Branding Terror: The Logotypes and Iconography of Insurgent Groups and Terrorist Organizations. Chicago:  Merrell Publishers, LTD</w:t>
              </w:r>
            </w:p>
            <w:p w:rsidR="00812A67" w:rsidRPr="00703B9A" w:rsidRDefault="00812A67" w:rsidP="00812A67">
              <w:pPr>
                <w:spacing w:before="240"/>
                <w:rPr>
                  <w:rFonts w:ascii="Times New Roman" w:hAnsi="Times New Roman" w:cs="Times New Roman"/>
                  <w:sz w:val="24"/>
                  <w:szCs w:val="24"/>
                </w:rPr>
              </w:pPr>
              <w:r w:rsidRPr="00703B9A">
                <w:rPr>
                  <w:rFonts w:ascii="Times New Roman" w:hAnsi="Times New Roman" w:cs="Times New Roman"/>
                  <w:sz w:val="24"/>
                  <w:szCs w:val="24"/>
                </w:rPr>
                <w:t> Claire M &amp; Bailey J, (2012), Inside Insurgency: Violence, Civilians, and Revolutionary Group Behavior</w:t>
              </w:r>
              <w:r w:rsidR="00703B9A" w:rsidRPr="00703B9A">
                <w:rPr>
                  <w:rFonts w:ascii="Times New Roman" w:hAnsi="Times New Roman" w:cs="Times New Roman"/>
                  <w:sz w:val="24"/>
                  <w:szCs w:val="24"/>
                </w:rPr>
                <w:t xml:space="preserve">. New </w:t>
              </w:r>
              <w:r w:rsidR="000C3599" w:rsidRPr="00703B9A">
                <w:rPr>
                  <w:rFonts w:ascii="Times New Roman" w:hAnsi="Times New Roman" w:cs="Times New Roman"/>
                  <w:sz w:val="24"/>
                  <w:szCs w:val="24"/>
                </w:rPr>
                <w:t>York:</w:t>
              </w:r>
              <w:r w:rsidR="00703B9A" w:rsidRPr="00703B9A">
                <w:rPr>
                  <w:rFonts w:ascii="Times New Roman" w:hAnsi="Times New Roman" w:cs="Times New Roman"/>
                  <w:sz w:val="24"/>
                  <w:szCs w:val="24"/>
                </w:rPr>
                <w:t xml:space="preserve"> New York University Press </w:t>
              </w:r>
            </w:p>
            <w:p w:rsidR="00812A67" w:rsidRPr="00703B9A" w:rsidRDefault="00812A67" w:rsidP="00812A67">
              <w:pPr>
                <w:rPr>
                  <w:rFonts w:ascii="Times New Roman" w:hAnsi="Times New Roman" w:cs="Times New Roman"/>
                  <w:sz w:val="24"/>
                  <w:szCs w:val="24"/>
                </w:rPr>
              </w:pPr>
            </w:p>
            <w:p w:rsidR="00812A67" w:rsidRDefault="00BF36D8" w:rsidP="00812A67"/>
          </w:sdtContent>
        </w:sdt>
      </w:sdtContent>
    </w:sdt>
    <w:p w:rsidR="00812A67" w:rsidRPr="00F76B79" w:rsidRDefault="00812A67" w:rsidP="00812A67">
      <w:pPr>
        <w:spacing w:line="360" w:lineRule="auto"/>
        <w:rPr>
          <w:rFonts w:ascii="Times New Roman" w:hAnsi="Times New Roman" w:cs="Times New Roman"/>
          <w:sz w:val="24"/>
          <w:szCs w:val="24"/>
        </w:rPr>
      </w:pPr>
    </w:p>
    <w:p w:rsidR="00F76B79" w:rsidRPr="00F76B79" w:rsidRDefault="00F76B79" w:rsidP="00F76B79">
      <w:pPr>
        <w:spacing w:line="360" w:lineRule="auto"/>
        <w:rPr>
          <w:rFonts w:ascii="Times New Roman" w:hAnsi="Times New Roman" w:cs="Times New Roman"/>
          <w:sz w:val="24"/>
          <w:szCs w:val="24"/>
        </w:rPr>
      </w:pPr>
    </w:p>
    <w:p w:rsidR="00F76B79" w:rsidRPr="00F76B79" w:rsidRDefault="00F76B79" w:rsidP="00F76B79">
      <w:pPr>
        <w:spacing w:line="360" w:lineRule="auto"/>
        <w:rPr>
          <w:rFonts w:ascii="Times New Roman" w:hAnsi="Times New Roman" w:cs="Times New Roman"/>
          <w:sz w:val="24"/>
          <w:szCs w:val="24"/>
        </w:rPr>
      </w:pPr>
    </w:p>
    <w:p w:rsidR="00F76B79" w:rsidRPr="00F76B79" w:rsidRDefault="00F76B79" w:rsidP="00F76B79">
      <w:pPr>
        <w:spacing w:line="360" w:lineRule="auto"/>
        <w:rPr>
          <w:rFonts w:ascii="Times New Roman" w:hAnsi="Times New Roman" w:cs="Times New Roman"/>
          <w:sz w:val="24"/>
          <w:szCs w:val="24"/>
        </w:rPr>
      </w:pPr>
    </w:p>
    <w:p w:rsidR="00F76B79" w:rsidRPr="00F76B79" w:rsidRDefault="00F76B79" w:rsidP="00F76B79">
      <w:pPr>
        <w:spacing w:line="360" w:lineRule="auto"/>
        <w:rPr>
          <w:rFonts w:ascii="Times New Roman" w:hAnsi="Times New Roman" w:cs="Times New Roman"/>
          <w:sz w:val="24"/>
          <w:szCs w:val="24"/>
        </w:rPr>
      </w:pPr>
    </w:p>
    <w:p w:rsidR="00F76B79" w:rsidRPr="00F76B79" w:rsidRDefault="00F76B79" w:rsidP="00F76B79">
      <w:pPr>
        <w:spacing w:line="360" w:lineRule="auto"/>
        <w:rPr>
          <w:rFonts w:ascii="Times New Roman" w:hAnsi="Times New Roman" w:cs="Times New Roman"/>
          <w:sz w:val="24"/>
          <w:szCs w:val="24"/>
        </w:rPr>
      </w:pPr>
    </w:p>
    <w:p w:rsidR="00F76B79" w:rsidRPr="00F76B79" w:rsidRDefault="00F76B79" w:rsidP="00F76B79">
      <w:pPr>
        <w:spacing w:line="360" w:lineRule="auto"/>
        <w:rPr>
          <w:rFonts w:ascii="Times New Roman" w:hAnsi="Times New Roman" w:cs="Times New Roman"/>
          <w:sz w:val="24"/>
          <w:szCs w:val="24"/>
        </w:rPr>
      </w:pPr>
    </w:p>
    <w:p w:rsidR="00F76B79" w:rsidRPr="00F76B79" w:rsidRDefault="00F76B79" w:rsidP="00F76B79">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F76B79" w:rsidRDefault="00F76B79" w:rsidP="00C34098">
      <w:pPr>
        <w:spacing w:line="360" w:lineRule="auto"/>
        <w:rPr>
          <w:rFonts w:ascii="Times New Roman" w:hAnsi="Times New Roman" w:cs="Times New Roman"/>
          <w:sz w:val="24"/>
          <w:szCs w:val="24"/>
        </w:rPr>
      </w:pPr>
    </w:p>
    <w:p w:rsidR="00C34098" w:rsidRPr="00B958E8" w:rsidRDefault="00C34098" w:rsidP="00C34098">
      <w:pPr>
        <w:spacing w:line="360" w:lineRule="auto"/>
        <w:ind w:left="720"/>
        <w:rPr>
          <w:rFonts w:ascii="Times New Roman" w:hAnsi="Times New Roman" w:cs="Times New Roman"/>
          <w:sz w:val="24"/>
          <w:szCs w:val="24"/>
        </w:rPr>
      </w:pPr>
    </w:p>
    <w:sectPr w:rsidR="00C34098" w:rsidRPr="00B958E8" w:rsidSect="00A335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5B"/>
    <w:rsid w:val="000C3599"/>
    <w:rsid w:val="000F185B"/>
    <w:rsid w:val="001B44C2"/>
    <w:rsid w:val="004279D6"/>
    <w:rsid w:val="004A1167"/>
    <w:rsid w:val="00603724"/>
    <w:rsid w:val="00703B9A"/>
    <w:rsid w:val="007B6FF5"/>
    <w:rsid w:val="00812A67"/>
    <w:rsid w:val="00A15857"/>
    <w:rsid w:val="00A33500"/>
    <w:rsid w:val="00B21957"/>
    <w:rsid w:val="00B6605B"/>
    <w:rsid w:val="00B958E8"/>
    <w:rsid w:val="00BF36D8"/>
    <w:rsid w:val="00C34098"/>
    <w:rsid w:val="00F7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C3982-5E29-4364-9885-BD524342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2A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
    <w:name w:val="words"/>
    <w:basedOn w:val="DefaultParagraphFont"/>
    <w:rsid w:val="000F185B"/>
  </w:style>
  <w:style w:type="character" w:styleId="Hyperlink">
    <w:name w:val="Hyperlink"/>
    <w:basedOn w:val="DefaultParagraphFont"/>
    <w:uiPriority w:val="99"/>
    <w:unhideWhenUsed/>
    <w:rsid w:val="00F76B79"/>
    <w:rPr>
      <w:color w:val="0563C1" w:themeColor="hyperlink"/>
      <w:u w:val="single"/>
    </w:rPr>
  </w:style>
  <w:style w:type="character" w:customStyle="1" w:styleId="Heading1Char">
    <w:name w:val="Heading 1 Char"/>
    <w:basedOn w:val="DefaultParagraphFont"/>
    <w:link w:val="Heading1"/>
    <w:uiPriority w:val="9"/>
    <w:rsid w:val="00812A6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1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76992">
      <w:bodyDiv w:val="1"/>
      <w:marLeft w:val="0"/>
      <w:marRight w:val="0"/>
      <w:marTop w:val="0"/>
      <w:marBottom w:val="0"/>
      <w:divBdr>
        <w:top w:val="none" w:sz="0" w:space="0" w:color="auto"/>
        <w:left w:val="none" w:sz="0" w:space="0" w:color="auto"/>
        <w:bottom w:val="none" w:sz="0" w:space="0" w:color="auto"/>
        <w:right w:val="none" w:sz="0" w:space="0" w:color="auto"/>
      </w:divBdr>
    </w:div>
    <w:div w:id="833186412">
      <w:bodyDiv w:val="1"/>
      <w:marLeft w:val="0"/>
      <w:marRight w:val="0"/>
      <w:marTop w:val="0"/>
      <w:marBottom w:val="0"/>
      <w:divBdr>
        <w:top w:val="none" w:sz="0" w:space="0" w:color="auto"/>
        <w:left w:val="none" w:sz="0" w:space="0" w:color="auto"/>
        <w:bottom w:val="none" w:sz="0" w:space="0" w:color="auto"/>
        <w:right w:val="none" w:sz="0" w:space="0" w:color="auto"/>
      </w:divBdr>
    </w:div>
    <w:div w:id="938025129">
      <w:bodyDiv w:val="1"/>
      <w:marLeft w:val="0"/>
      <w:marRight w:val="0"/>
      <w:marTop w:val="0"/>
      <w:marBottom w:val="0"/>
      <w:divBdr>
        <w:top w:val="none" w:sz="0" w:space="0" w:color="auto"/>
        <w:left w:val="none" w:sz="0" w:space="0" w:color="auto"/>
        <w:bottom w:val="none" w:sz="0" w:space="0" w:color="auto"/>
        <w:right w:val="none" w:sz="0" w:space="0" w:color="auto"/>
      </w:divBdr>
      <w:divsChild>
        <w:div w:id="1546604331">
          <w:marLeft w:val="0"/>
          <w:marRight w:val="0"/>
          <w:marTop w:val="0"/>
          <w:marBottom w:val="0"/>
          <w:divBdr>
            <w:top w:val="none" w:sz="0" w:space="0" w:color="auto"/>
            <w:left w:val="none" w:sz="0" w:space="0" w:color="auto"/>
            <w:bottom w:val="none" w:sz="0" w:space="0" w:color="auto"/>
            <w:right w:val="none" w:sz="0" w:space="0" w:color="auto"/>
          </w:divBdr>
        </w:div>
      </w:divsChild>
    </w:div>
    <w:div w:id="1211187530">
      <w:bodyDiv w:val="1"/>
      <w:marLeft w:val="0"/>
      <w:marRight w:val="0"/>
      <w:marTop w:val="0"/>
      <w:marBottom w:val="0"/>
      <w:divBdr>
        <w:top w:val="none" w:sz="0" w:space="0" w:color="auto"/>
        <w:left w:val="none" w:sz="0" w:space="0" w:color="auto"/>
        <w:bottom w:val="none" w:sz="0" w:space="0" w:color="auto"/>
        <w:right w:val="none" w:sz="0" w:space="0" w:color="auto"/>
      </w:divBdr>
    </w:div>
    <w:div w:id="1253591300">
      <w:bodyDiv w:val="1"/>
      <w:marLeft w:val="0"/>
      <w:marRight w:val="0"/>
      <w:marTop w:val="0"/>
      <w:marBottom w:val="0"/>
      <w:divBdr>
        <w:top w:val="none" w:sz="0" w:space="0" w:color="auto"/>
        <w:left w:val="none" w:sz="0" w:space="0" w:color="auto"/>
        <w:bottom w:val="none" w:sz="0" w:space="0" w:color="auto"/>
        <w:right w:val="none" w:sz="0" w:space="0" w:color="auto"/>
      </w:divBdr>
      <w:divsChild>
        <w:div w:id="1866626281">
          <w:marLeft w:val="0"/>
          <w:marRight w:val="0"/>
          <w:marTop w:val="0"/>
          <w:marBottom w:val="0"/>
          <w:divBdr>
            <w:top w:val="none" w:sz="0" w:space="0" w:color="auto"/>
            <w:left w:val="none" w:sz="0" w:space="0" w:color="auto"/>
            <w:bottom w:val="none" w:sz="0" w:space="0" w:color="auto"/>
            <w:right w:val="none" w:sz="0" w:space="0" w:color="auto"/>
          </w:divBdr>
        </w:div>
      </w:divsChild>
    </w:div>
    <w:div w:id="1663511900">
      <w:bodyDiv w:val="1"/>
      <w:marLeft w:val="0"/>
      <w:marRight w:val="0"/>
      <w:marTop w:val="0"/>
      <w:marBottom w:val="0"/>
      <w:divBdr>
        <w:top w:val="none" w:sz="0" w:space="0" w:color="auto"/>
        <w:left w:val="none" w:sz="0" w:space="0" w:color="auto"/>
        <w:bottom w:val="none" w:sz="0" w:space="0" w:color="auto"/>
        <w:right w:val="none" w:sz="0" w:space="0" w:color="auto"/>
      </w:divBdr>
    </w:div>
    <w:div w:id="1729457984">
      <w:bodyDiv w:val="1"/>
      <w:marLeft w:val="0"/>
      <w:marRight w:val="0"/>
      <w:marTop w:val="0"/>
      <w:marBottom w:val="0"/>
      <w:divBdr>
        <w:top w:val="none" w:sz="0" w:space="0" w:color="auto"/>
        <w:left w:val="none" w:sz="0" w:space="0" w:color="auto"/>
        <w:bottom w:val="none" w:sz="0" w:space="0" w:color="auto"/>
        <w:right w:val="none" w:sz="0" w:space="0" w:color="auto"/>
      </w:divBdr>
    </w:div>
    <w:div w:id="1791514693">
      <w:bodyDiv w:val="1"/>
      <w:marLeft w:val="0"/>
      <w:marRight w:val="0"/>
      <w:marTop w:val="0"/>
      <w:marBottom w:val="0"/>
      <w:divBdr>
        <w:top w:val="none" w:sz="0" w:space="0" w:color="auto"/>
        <w:left w:val="none" w:sz="0" w:space="0" w:color="auto"/>
        <w:bottom w:val="none" w:sz="0" w:space="0" w:color="auto"/>
        <w:right w:val="none" w:sz="0" w:space="0" w:color="auto"/>
      </w:divBdr>
      <w:divsChild>
        <w:div w:id="119420104">
          <w:marLeft w:val="0"/>
          <w:marRight w:val="0"/>
          <w:marTop w:val="0"/>
          <w:marBottom w:val="0"/>
          <w:divBdr>
            <w:top w:val="none" w:sz="0" w:space="0" w:color="auto"/>
            <w:left w:val="none" w:sz="0" w:space="0" w:color="auto"/>
            <w:bottom w:val="none" w:sz="0" w:space="0" w:color="auto"/>
            <w:right w:val="none" w:sz="0" w:space="0" w:color="auto"/>
          </w:divBdr>
        </w:div>
      </w:divsChild>
    </w:div>
    <w:div w:id="1958675224">
      <w:bodyDiv w:val="1"/>
      <w:marLeft w:val="0"/>
      <w:marRight w:val="0"/>
      <w:marTop w:val="0"/>
      <w:marBottom w:val="0"/>
      <w:divBdr>
        <w:top w:val="none" w:sz="0" w:space="0" w:color="auto"/>
        <w:left w:val="none" w:sz="0" w:space="0" w:color="auto"/>
        <w:bottom w:val="none" w:sz="0" w:space="0" w:color="auto"/>
        <w:right w:val="none" w:sz="0" w:space="0" w:color="auto"/>
      </w:divBdr>
    </w:div>
    <w:div w:id="1974628695">
      <w:bodyDiv w:val="1"/>
      <w:marLeft w:val="0"/>
      <w:marRight w:val="0"/>
      <w:marTop w:val="0"/>
      <w:marBottom w:val="0"/>
      <w:divBdr>
        <w:top w:val="none" w:sz="0" w:space="0" w:color="auto"/>
        <w:left w:val="none" w:sz="0" w:space="0" w:color="auto"/>
        <w:bottom w:val="none" w:sz="0" w:space="0" w:color="auto"/>
        <w:right w:val="none" w:sz="0" w:space="0" w:color="auto"/>
      </w:divBdr>
    </w:div>
    <w:div w:id="19772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b:Tag>
    <b:SourceType>Book</b:SourceType>
    <b:Guid>{BC5E77B3-297D-433D-A42A-AC0CD67B2909}</b:Guid>
    <b:Author>
      <b:Author>
        <b:NameList>
          <b:Person>
            <b:Last>kilcullen</b:Last>
            <b:First>David</b:First>
          </b:Person>
        </b:NameList>
      </b:Author>
    </b:Author>
    <b:RefOrder>1</b:RefOrder>
  </b:Source>
  <b:Source>
    <b:Tag>Dav11</b:Tag>
    <b:SourceType>Book</b:SourceType>
    <b:Guid>{8E8969FD-A74F-432B-8685-810DF82E0911}</b:Guid>
    <b:Author>
      <b:Author>
        <b:NameList>
          <b:Person>
            <b:Last>Kilcullen</b:Last>
            <b:First>David</b:First>
          </b:Person>
        </b:NameList>
      </b:Author>
    </b:Author>
    <b:Title>The Accidental Guerrilla: Fighting Small Wars in the Midst of a Big One</b:Title>
    <b:Year>2011</b:Year>
    <b:City>NY</b:City>
    <b:Publisher>Oxford University Press</b:Publisher>
    <b:RefOrder>2</b:RefOrder>
  </b:Source>
</b:Sources>
</file>

<file path=customXml/itemProps1.xml><?xml version="1.0" encoding="utf-8"?>
<ds:datastoreItem xmlns:ds="http://schemas.openxmlformats.org/officeDocument/2006/customXml" ds:itemID="{540B3183-7601-4221-8C56-0E546242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6412</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&lt;References</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Ezikeoha</dc:creator>
  <cp:keywords/>
  <dc:description/>
  <cp:lastModifiedBy>Doris Ezikeoha</cp:lastModifiedBy>
  <cp:revision>2</cp:revision>
  <dcterms:created xsi:type="dcterms:W3CDTF">2020-05-05T16:18:00Z</dcterms:created>
  <dcterms:modified xsi:type="dcterms:W3CDTF">2020-05-05T16:18:00Z</dcterms:modified>
</cp:coreProperties>
</file>