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E0" w:rsidRDefault="009772E0" w:rsidP="002D68C7">
      <w:pPr>
        <w:tabs>
          <w:tab w:val="left" w:pos="975"/>
        </w:tabs>
        <w:spacing w:line="360" w:lineRule="auto"/>
        <w:rPr>
          <w:rFonts w:ascii="Times New Roman" w:hAnsi="Times New Roman" w:cs="Times New Roman"/>
          <w:b/>
          <w:sz w:val="40"/>
          <w:szCs w:val="40"/>
        </w:rPr>
      </w:pPr>
      <w:r>
        <w:rPr>
          <w:rFonts w:ascii="Times New Roman" w:hAnsi="Times New Roman" w:cs="Times New Roman"/>
          <w:b/>
          <w:sz w:val="40"/>
          <w:szCs w:val="40"/>
        </w:rPr>
        <w:t>NAME: UMEAKA ALICE CHIBUNDOM</w:t>
      </w:r>
    </w:p>
    <w:p w:rsidR="009772E0" w:rsidRDefault="009772E0" w:rsidP="002D68C7">
      <w:pPr>
        <w:tabs>
          <w:tab w:val="left" w:pos="975"/>
        </w:tabs>
        <w:spacing w:line="360" w:lineRule="auto"/>
        <w:rPr>
          <w:rFonts w:ascii="Times New Roman" w:hAnsi="Times New Roman" w:cs="Times New Roman"/>
          <w:b/>
          <w:sz w:val="40"/>
          <w:szCs w:val="40"/>
        </w:rPr>
      </w:pPr>
      <w:r>
        <w:rPr>
          <w:rFonts w:ascii="Times New Roman" w:hAnsi="Times New Roman" w:cs="Times New Roman"/>
          <w:b/>
          <w:sz w:val="40"/>
          <w:szCs w:val="40"/>
        </w:rPr>
        <w:t>MATRIC NO: 17/LAW01/286</w:t>
      </w:r>
    </w:p>
    <w:p w:rsidR="009772E0" w:rsidRDefault="009772E0" w:rsidP="002D68C7">
      <w:pPr>
        <w:tabs>
          <w:tab w:val="left" w:pos="975"/>
        </w:tabs>
        <w:spacing w:line="360" w:lineRule="auto"/>
        <w:rPr>
          <w:rFonts w:ascii="Times New Roman" w:hAnsi="Times New Roman" w:cs="Times New Roman"/>
          <w:b/>
          <w:sz w:val="40"/>
          <w:szCs w:val="40"/>
        </w:rPr>
      </w:pPr>
      <w:r>
        <w:rPr>
          <w:rFonts w:ascii="Times New Roman" w:hAnsi="Times New Roman" w:cs="Times New Roman"/>
          <w:b/>
          <w:sz w:val="40"/>
          <w:szCs w:val="40"/>
        </w:rPr>
        <w:t>LEVEL: 300L</w:t>
      </w:r>
    </w:p>
    <w:p w:rsidR="009772E0" w:rsidRDefault="009772E0" w:rsidP="002D68C7">
      <w:pPr>
        <w:tabs>
          <w:tab w:val="left" w:pos="975"/>
        </w:tabs>
        <w:spacing w:line="360" w:lineRule="auto"/>
        <w:rPr>
          <w:rFonts w:ascii="Times New Roman" w:hAnsi="Times New Roman" w:cs="Times New Roman"/>
          <w:b/>
          <w:sz w:val="40"/>
          <w:szCs w:val="40"/>
        </w:rPr>
      </w:pPr>
      <w:r>
        <w:rPr>
          <w:rFonts w:ascii="Times New Roman" w:hAnsi="Times New Roman" w:cs="Times New Roman"/>
          <w:b/>
          <w:sz w:val="40"/>
          <w:szCs w:val="40"/>
        </w:rPr>
        <w:t>COURSE: LAW OF TORT II</w:t>
      </w:r>
    </w:p>
    <w:p w:rsidR="009772E0" w:rsidRDefault="009772E0" w:rsidP="002D68C7">
      <w:pPr>
        <w:tabs>
          <w:tab w:val="left" w:pos="975"/>
        </w:tabs>
        <w:spacing w:line="360" w:lineRule="auto"/>
        <w:rPr>
          <w:rFonts w:ascii="Times New Roman" w:hAnsi="Times New Roman" w:cs="Times New Roman"/>
          <w:b/>
          <w:sz w:val="40"/>
          <w:szCs w:val="40"/>
        </w:rPr>
      </w:pPr>
      <w:r>
        <w:rPr>
          <w:rFonts w:ascii="Times New Roman" w:hAnsi="Times New Roman" w:cs="Times New Roman"/>
          <w:b/>
          <w:sz w:val="40"/>
          <w:szCs w:val="40"/>
        </w:rPr>
        <w:t>LECTURER: MRS APARA</w:t>
      </w:r>
    </w:p>
    <w:p w:rsidR="009772E0" w:rsidRPr="009772E0" w:rsidRDefault="009772E0" w:rsidP="002D68C7">
      <w:pPr>
        <w:tabs>
          <w:tab w:val="left" w:pos="975"/>
        </w:tabs>
        <w:spacing w:line="360" w:lineRule="auto"/>
        <w:rPr>
          <w:rFonts w:ascii="Times New Roman" w:hAnsi="Times New Roman" w:cs="Times New Roman"/>
          <w:b/>
          <w:sz w:val="40"/>
          <w:szCs w:val="40"/>
        </w:rPr>
      </w:pPr>
      <w:r>
        <w:rPr>
          <w:rFonts w:ascii="Times New Roman" w:hAnsi="Times New Roman" w:cs="Times New Roman"/>
          <w:b/>
          <w:sz w:val="40"/>
          <w:szCs w:val="40"/>
        </w:rPr>
        <w:t>COLLEGE: LAW</w:t>
      </w: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9772E0" w:rsidRDefault="009772E0" w:rsidP="002D68C7">
      <w:pPr>
        <w:tabs>
          <w:tab w:val="left" w:pos="975"/>
        </w:tabs>
        <w:spacing w:line="360" w:lineRule="auto"/>
        <w:rPr>
          <w:rFonts w:ascii="Times New Roman" w:hAnsi="Times New Roman" w:cs="Times New Roman"/>
          <w:sz w:val="24"/>
          <w:szCs w:val="24"/>
        </w:rPr>
      </w:pP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lastRenderedPageBreak/>
        <w:t xml:space="preserve">The tort of passing off is very important in the life of a society. Individual person in a society has the right to life and the right to engage in any legal kind of economic activity to sustain the kind of life style that the individual has chosen. </w:t>
      </w:r>
    </w:p>
    <w:p w:rsidR="00F020A2"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The law of tort especially protects the individual in whatever economic activity one is engaged in. It  protects  business  names,  names  of  product,  trademarks  among  others. Anybody who attempts to cause confusion by illegal activities bordering on imitation, deceit, fraud in economic activities may be liable for the tort of passing off.</w:t>
      </w: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The tort of passing off is committed in various forms. </w:t>
      </w:r>
      <w:r w:rsidRPr="00E87746">
        <w:rPr>
          <w:rFonts w:ascii="Times New Roman" w:hAnsi="Times New Roman" w:cs="Times New Roman"/>
          <w:b/>
          <w:sz w:val="24"/>
          <w:szCs w:val="24"/>
        </w:rPr>
        <w:t>Francis Day &amp; Hunter Ltd v. Twentieth Century Fox Co</w:t>
      </w:r>
      <w:r w:rsidRPr="00F1447E">
        <w:rPr>
          <w:rFonts w:ascii="Times New Roman" w:hAnsi="Times New Roman" w:cs="Times New Roman"/>
          <w:sz w:val="24"/>
          <w:szCs w:val="24"/>
        </w:rPr>
        <w:t>. Ltd</w:t>
      </w:r>
      <w:r w:rsidR="00B664D2">
        <w:rPr>
          <w:rStyle w:val="FootnoteReference"/>
          <w:rFonts w:ascii="Times New Roman" w:hAnsi="Times New Roman" w:cs="Times New Roman"/>
          <w:sz w:val="24"/>
          <w:szCs w:val="24"/>
        </w:rPr>
        <w:footnoteReference w:id="1"/>
      </w:r>
      <w:r w:rsidR="009B6823">
        <w:rPr>
          <w:rFonts w:ascii="Times New Roman" w:hAnsi="Times New Roman" w:cs="Times New Roman"/>
          <w:sz w:val="24"/>
          <w:szCs w:val="24"/>
        </w:rPr>
        <w:t xml:space="preserve"> t</w:t>
      </w:r>
      <w:r w:rsidRPr="00F1447E">
        <w:rPr>
          <w:rFonts w:ascii="Times New Roman" w:hAnsi="Times New Roman" w:cs="Times New Roman"/>
          <w:sz w:val="24"/>
          <w:szCs w:val="24"/>
        </w:rPr>
        <w:t xml:space="preserve">he common forms of passing off which are easily noticed are as follows: </w:t>
      </w: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1) Trading with a name resembling that of the plaintiff. </w:t>
      </w: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2) Marketing a fake product as that of the plaintiff by using the plaintiff’s label or design. </w:t>
      </w: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3) Marketing a product with a name resembling that of the plaintiff’s goods. </w:t>
      </w: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4) Marketing products with the plaintiff trademark or its imitation. </w:t>
      </w: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5) Imitating the appearance of the plaintiff’s product. </w:t>
      </w:r>
    </w:p>
    <w:p w:rsidR="002D68C7" w:rsidRPr="00F1447E"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6) Selling inferior or expired goods of the plaintiff as current stock. </w:t>
      </w:r>
    </w:p>
    <w:p w:rsidR="002D68C7" w:rsidRDefault="002D68C7"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sz w:val="24"/>
          <w:szCs w:val="24"/>
        </w:rPr>
        <w:t xml:space="preserve"> 7) False advertisement by copying the plaintiff’s advertisement</w:t>
      </w:r>
    </w:p>
    <w:p w:rsidR="00F1447E" w:rsidRPr="00F1447E" w:rsidRDefault="00F1447E" w:rsidP="00C86DB7">
      <w:pPr>
        <w:tabs>
          <w:tab w:val="left" w:pos="975"/>
        </w:tabs>
        <w:spacing w:line="360" w:lineRule="auto"/>
        <w:rPr>
          <w:rFonts w:ascii="Times New Roman" w:hAnsi="Times New Roman" w:cs="Times New Roman"/>
          <w:sz w:val="24"/>
          <w:szCs w:val="24"/>
        </w:rPr>
      </w:pPr>
      <w:r w:rsidRPr="00F1447E">
        <w:rPr>
          <w:rFonts w:ascii="Times New Roman" w:hAnsi="Times New Roman" w:cs="Times New Roman"/>
          <w:b/>
          <w:sz w:val="24"/>
          <w:szCs w:val="24"/>
        </w:rPr>
        <w:t>1</w:t>
      </w:r>
      <w:r>
        <w:rPr>
          <w:rFonts w:ascii="Times New Roman" w:hAnsi="Times New Roman" w:cs="Times New Roman"/>
          <w:b/>
          <w:sz w:val="24"/>
          <w:szCs w:val="24"/>
        </w:rPr>
        <w:t>.</w:t>
      </w:r>
      <w:r w:rsidRPr="00F1447E">
        <w:rPr>
          <w:rFonts w:ascii="Times New Roman" w:hAnsi="Times New Roman" w:cs="Times New Roman"/>
          <w:b/>
          <w:sz w:val="24"/>
          <w:szCs w:val="24"/>
        </w:rPr>
        <w:t xml:space="preserve"> Trading with a name resembling that of the plaintiff:</w:t>
      </w:r>
      <w:r>
        <w:rPr>
          <w:rFonts w:ascii="Times New Roman" w:hAnsi="Times New Roman" w:cs="Times New Roman"/>
          <w:sz w:val="24"/>
          <w:szCs w:val="24"/>
        </w:rPr>
        <w:t xml:space="preserve"> </w:t>
      </w:r>
      <w:r w:rsidRPr="00F1447E">
        <w:rPr>
          <w:rFonts w:ascii="Times New Roman" w:hAnsi="Times New Roman" w:cs="Times New Roman"/>
          <w:sz w:val="24"/>
          <w:szCs w:val="24"/>
        </w:rPr>
        <w:t xml:space="preserve">This is where the defendant is engaged in the same type of business as the plaintiff and uses the name so closely resembling that of the plaintiff in order to mislead the public into believing that the defendant’s product/business and that of the plaintiff are one and the same. In </w:t>
      </w:r>
      <w:r w:rsidRPr="00F1447E">
        <w:rPr>
          <w:rFonts w:ascii="Times New Roman" w:hAnsi="Times New Roman" w:cs="Times New Roman"/>
          <w:b/>
          <w:sz w:val="24"/>
          <w:szCs w:val="24"/>
        </w:rPr>
        <w:t>Hendricks v. Montague</w:t>
      </w:r>
      <w:r w:rsidR="00B664D2">
        <w:rPr>
          <w:rStyle w:val="FootnoteReference"/>
          <w:rFonts w:ascii="Times New Roman" w:hAnsi="Times New Roman" w:cs="Times New Roman"/>
          <w:b/>
          <w:sz w:val="24"/>
          <w:szCs w:val="24"/>
        </w:rPr>
        <w:footnoteReference w:id="2"/>
      </w:r>
      <w:r w:rsidRPr="00F1447E">
        <w:rPr>
          <w:rFonts w:ascii="Times New Roman" w:hAnsi="Times New Roman" w:cs="Times New Roman"/>
          <w:sz w:val="24"/>
          <w:szCs w:val="24"/>
        </w:rPr>
        <w:t xml:space="preserve"> it was held that 'Universal Life Assurance Society’ and ‘Universe Life Assurance</w:t>
      </w:r>
      <w:r>
        <w:rPr>
          <w:rFonts w:ascii="Times New Roman" w:hAnsi="Times New Roman" w:cs="Times New Roman"/>
          <w:sz w:val="24"/>
          <w:szCs w:val="24"/>
        </w:rPr>
        <w:t xml:space="preserve"> Association’ are very likely. </w:t>
      </w:r>
      <w:r w:rsidRPr="00F1447E">
        <w:rPr>
          <w:rFonts w:ascii="Times New Roman" w:hAnsi="Times New Roman" w:cs="Times New Roman"/>
          <w:sz w:val="24"/>
          <w:szCs w:val="24"/>
        </w:rPr>
        <w:t xml:space="preserve">Also in </w:t>
      </w:r>
      <w:r w:rsidRPr="00F1447E">
        <w:rPr>
          <w:rFonts w:ascii="Times New Roman" w:hAnsi="Times New Roman" w:cs="Times New Roman"/>
          <w:b/>
          <w:sz w:val="24"/>
          <w:szCs w:val="24"/>
        </w:rPr>
        <w:t>Niger Chemist Ltd v. Nigeria Chemist (1961) ALL NLR 180 at 182;</w:t>
      </w:r>
      <w:r w:rsidR="00B664D2">
        <w:rPr>
          <w:rStyle w:val="FootnoteReference"/>
          <w:rFonts w:ascii="Times New Roman" w:hAnsi="Times New Roman" w:cs="Times New Roman"/>
          <w:b/>
          <w:sz w:val="24"/>
          <w:szCs w:val="24"/>
        </w:rPr>
        <w:footnoteReference w:id="3"/>
      </w:r>
      <w:r w:rsidRPr="00F1447E">
        <w:rPr>
          <w:rFonts w:ascii="Times New Roman" w:hAnsi="Times New Roman" w:cs="Times New Roman"/>
          <w:sz w:val="24"/>
          <w:szCs w:val="24"/>
        </w:rPr>
        <w:t xml:space="preserve"> it was held that; </w:t>
      </w:r>
    </w:p>
    <w:p w:rsidR="00E87746" w:rsidRDefault="00F1447E" w:rsidP="00C86DB7">
      <w:pPr>
        <w:tabs>
          <w:tab w:val="left" w:pos="97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1447E">
        <w:rPr>
          <w:rFonts w:ascii="Times New Roman" w:hAnsi="Times New Roman" w:cs="Times New Roman"/>
          <w:sz w:val="24"/>
          <w:szCs w:val="24"/>
        </w:rPr>
        <w:t>“As a matter of common sense that when two firms trade in the same town, in the same street and in the same line of business, one calling i</w:t>
      </w:r>
      <w:r>
        <w:rPr>
          <w:rFonts w:ascii="Times New Roman" w:hAnsi="Times New Roman" w:cs="Times New Roman"/>
          <w:sz w:val="24"/>
          <w:szCs w:val="24"/>
        </w:rPr>
        <w:t xml:space="preserve">tself ‘Niger Chemists’ and the </w:t>
      </w:r>
      <w:r w:rsidRPr="00F1447E">
        <w:rPr>
          <w:rFonts w:ascii="Times New Roman" w:hAnsi="Times New Roman" w:cs="Times New Roman"/>
          <w:sz w:val="24"/>
          <w:szCs w:val="24"/>
        </w:rPr>
        <w:t>other ‘Nigeria Chemists’, there must be a grave r</w:t>
      </w:r>
      <w:r>
        <w:rPr>
          <w:rFonts w:ascii="Times New Roman" w:hAnsi="Times New Roman" w:cs="Times New Roman"/>
          <w:sz w:val="24"/>
          <w:szCs w:val="24"/>
        </w:rPr>
        <w:t>isk of confusion and deception”.</w:t>
      </w:r>
    </w:p>
    <w:p w:rsidR="003D4CDA" w:rsidRDefault="003D4CDA" w:rsidP="00C86DB7">
      <w:pPr>
        <w:tabs>
          <w:tab w:val="left" w:pos="97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3D4CDA">
        <w:rPr>
          <w:rFonts w:ascii="Times New Roman" w:hAnsi="Times New Roman" w:cs="Times New Roman"/>
          <w:b/>
          <w:sz w:val="24"/>
          <w:szCs w:val="24"/>
        </w:rPr>
        <w:t>Marketing a product as that of the plaintiff:</w:t>
      </w:r>
      <w:r>
        <w:rPr>
          <w:rFonts w:ascii="Times New Roman" w:hAnsi="Times New Roman" w:cs="Times New Roman"/>
          <w:sz w:val="24"/>
          <w:szCs w:val="24"/>
        </w:rPr>
        <w:t xml:space="preserve"> </w:t>
      </w:r>
      <w:r w:rsidRPr="003D4CDA">
        <w:rPr>
          <w:rFonts w:ascii="Times New Roman" w:hAnsi="Times New Roman" w:cs="Times New Roman"/>
          <w:sz w:val="24"/>
          <w:szCs w:val="24"/>
        </w:rPr>
        <w:t xml:space="preserve">It is actionable passing off for the defendant to sell his goods with a direct statement that the goods are manufactured by the plaintiff, whereas they are not. In </w:t>
      </w:r>
      <w:r w:rsidRPr="003D4CDA">
        <w:rPr>
          <w:rFonts w:ascii="Times New Roman" w:hAnsi="Times New Roman" w:cs="Times New Roman"/>
          <w:b/>
          <w:sz w:val="24"/>
          <w:szCs w:val="24"/>
        </w:rPr>
        <w:t>Byron v. Johnston</w:t>
      </w:r>
      <w:r w:rsidR="00566A6B">
        <w:rPr>
          <w:rStyle w:val="FootnoteReference"/>
          <w:rFonts w:ascii="Times New Roman" w:hAnsi="Times New Roman" w:cs="Times New Roman"/>
          <w:b/>
          <w:sz w:val="24"/>
          <w:szCs w:val="24"/>
        </w:rPr>
        <w:footnoteReference w:id="4"/>
      </w:r>
      <w:r w:rsidRPr="003D4CDA">
        <w:rPr>
          <w:rFonts w:ascii="Times New Roman" w:hAnsi="Times New Roman" w:cs="Times New Roman"/>
          <w:b/>
          <w:sz w:val="24"/>
          <w:szCs w:val="24"/>
        </w:rPr>
        <w:t xml:space="preserve"> </w:t>
      </w:r>
      <w:r w:rsidRPr="003D4CDA">
        <w:rPr>
          <w:rFonts w:ascii="Times New Roman" w:hAnsi="Times New Roman" w:cs="Times New Roman"/>
          <w:sz w:val="24"/>
          <w:szCs w:val="24"/>
        </w:rPr>
        <w:t xml:space="preserve">– it was held actionable for a book publisher to advertise and sell a book of poems with the name of Lord Bryon on the  title  page,  when  in  fact  that  famous  poet  had  nothing  to  do  with  its authorship. </w:t>
      </w:r>
    </w:p>
    <w:p w:rsidR="003D4CDA" w:rsidRPr="00532D9C" w:rsidRDefault="003D4CDA" w:rsidP="00C86DB7">
      <w:pPr>
        <w:tabs>
          <w:tab w:val="left" w:pos="975"/>
        </w:tabs>
        <w:spacing w:line="360" w:lineRule="auto"/>
        <w:rPr>
          <w:rFonts w:ascii="Times New Roman" w:hAnsi="Times New Roman" w:cs="Times New Roman"/>
          <w:b/>
          <w:sz w:val="24"/>
          <w:szCs w:val="24"/>
        </w:rPr>
      </w:pPr>
      <w:r>
        <w:rPr>
          <w:rFonts w:ascii="Times New Roman" w:hAnsi="Times New Roman" w:cs="Times New Roman"/>
          <w:b/>
          <w:sz w:val="24"/>
          <w:szCs w:val="24"/>
        </w:rPr>
        <w:t>3. Marketing goods with the name resembling that of the plaintiffs goods</w:t>
      </w:r>
      <w:r>
        <w:rPr>
          <w:rFonts w:ascii="Times New Roman" w:hAnsi="Times New Roman" w:cs="Times New Roman"/>
          <w:sz w:val="24"/>
          <w:szCs w:val="24"/>
        </w:rPr>
        <w:t>:</w:t>
      </w:r>
      <w:r>
        <w:rPr>
          <w:rFonts w:ascii="Times New Roman" w:hAnsi="Times New Roman" w:cs="Times New Roman"/>
          <w:b/>
          <w:sz w:val="24"/>
          <w:szCs w:val="24"/>
        </w:rPr>
        <w:t xml:space="preserve"> </w:t>
      </w:r>
      <w:r w:rsidRPr="003D4CDA">
        <w:rPr>
          <w:rFonts w:ascii="Times New Roman" w:hAnsi="Times New Roman" w:cs="Times New Roman"/>
          <w:sz w:val="24"/>
          <w:szCs w:val="24"/>
        </w:rPr>
        <w:t xml:space="preserve">It is a tort of passing off for a defendant to produce or market his goods with a name closely resembling the name of the plaintiff’s goods, with the result that the customers are confused, and the defendant’s products are mistaken as made by the plaintiff and are </w:t>
      </w:r>
      <w:r w:rsidR="00532D9C">
        <w:rPr>
          <w:rFonts w:ascii="Times New Roman" w:hAnsi="Times New Roman" w:cs="Times New Roman"/>
          <w:sz w:val="24"/>
          <w:szCs w:val="24"/>
        </w:rPr>
        <w:t>bought as the product of the pl</w:t>
      </w:r>
      <w:r w:rsidRPr="003D4CDA">
        <w:rPr>
          <w:rFonts w:ascii="Times New Roman" w:hAnsi="Times New Roman" w:cs="Times New Roman"/>
          <w:sz w:val="24"/>
          <w:szCs w:val="24"/>
        </w:rPr>
        <w:t xml:space="preserve">aintiff. In </w:t>
      </w:r>
      <w:r w:rsidRPr="00532D9C">
        <w:rPr>
          <w:rFonts w:ascii="Times New Roman" w:hAnsi="Times New Roman" w:cs="Times New Roman"/>
          <w:b/>
          <w:sz w:val="24"/>
          <w:szCs w:val="24"/>
        </w:rPr>
        <w:t xml:space="preserve">Hines v. </w:t>
      </w:r>
      <w:proofErr w:type="spellStart"/>
      <w:r w:rsidRPr="00532D9C">
        <w:rPr>
          <w:rFonts w:ascii="Times New Roman" w:hAnsi="Times New Roman" w:cs="Times New Roman"/>
          <w:b/>
          <w:sz w:val="24"/>
          <w:szCs w:val="24"/>
        </w:rPr>
        <w:t>Winnick</w:t>
      </w:r>
      <w:proofErr w:type="spellEnd"/>
      <w:r w:rsidR="00566A6B">
        <w:rPr>
          <w:rStyle w:val="FootnoteReference"/>
          <w:rFonts w:ascii="Times New Roman" w:hAnsi="Times New Roman" w:cs="Times New Roman"/>
          <w:b/>
          <w:sz w:val="24"/>
          <w:szCs w:val="24"/>
        </w:rPr>
        <w:footnoteReference w:id="5"/>
      </w:r>
      <w:r w:rsidRPr="003D4CDA">
        <w:rPr>
          <w:rFonts w:ascii="Times New Roman" w:hAnsi="Times New Roman" w:cs="Times New Roman"/>
          <w:sz w:val="24"/>
          <w:szCs w:val="24"/>
        </w:rPr>
        <w:t xml:space="preserve">, the plaintiff musician and band leader who used </w:t>
      </w:r>
      <w:r w:rsidR="00956831">
        <w:rPr>
          <w:rFonts w:ascii="Times New Roman" w:hAnsi="Times New Roman" w:cs="Times New Roman"/>
          <w:sz w:val="24"/>
          <w:szCs w:val="24"/>
        </w:rPr>
        <w:t>to broadcast his radio program</w:t>
      </w:r>
      <w:r w:rsidRPr="003D4CDA">
        <w:rPr>
          <w:rFonts w:ascii="Times New Roman" w:hAnsi="Times New Roman" w:cs="Times New Roman"/>
          <w:sz w:val="24"/>
          <w:szCs w:val="24"/>
        </w:rPr>
        <w:t xml:space="preserve"> under the name ‘Dr. Crock and  his  crack  pots’  obtained  an  injunction  to  restrain  the  defendant  from featuri</w:t>
      </w:r>
      <w:r w:rsidR="00C86DB7">
        <w:rPr>
          <w:rFonts w:ascii="Times New Roman" w:hAnsi="Times New Roman" w:cs="Times New Roman"/>
          <w:sz w:val="24"/>
          <w:szCs w:val="24"/>
        </w:rPr>
        <w:t>ng another band on the program</w:t>
      </w:r>
      <w:r w:rsidRPr="003D4CDA">
        <w:rPr>
          <w:rFonts w:ascii="Times New Roman" w:hAnsi="Times New Roman" w:cs="Times New Roman"/>
          <w:sz w:val="24"/>
          <w:szCs w:val="24"/>
        </w:rPr>
        <w:t xml:space="preserve"> using the same name. VAISEY J granting the  injunction  was  of  the  view  that  a  musician  gets  known  by  a particular name and this becomes inevitably part of his stock-in-trade. </w:t>
      </w:r>
    </w:p>
    <w:p w:rsidR="003D4CDA" w:rsidRPr="00532D9C" w:rsidRDefault="00532D9C" w:rsidP="00C86DB7">
      <w:pPr>
        <w:tabs>
          <w:tab w:val="left" w:pos="97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532D9C">
        <w:rPr>
          <w:rFonts w:ascii="Times New Roman" w:hAnsi="Times New Roman" w:cs="Times New Roman"/>
          <w:b/>
          <w:sz w:val="24"/>
          <w:szCs w:val="24"/>
        </w:rPr>
        <w:t>Marketing products with the plaintiff</w:t>
      </w:r>
      <w:r w:rsidR="00C86DB7">
        <w:rPr>
          <w:rFonts w:ascii="Times New Roman" w:hAnsi="Times New Roman" w:cs="Times New Roman"/>
          <w:b/>
          <w:sz w:val="24"/>
          <w:szCs w:val="24"/>
        </w:rPr>
        <w:t>’</w:t>
      </w:r>
      <w:r w:rsidRPr="00532D9C">
        <w:rPr>
          <w:rFonts w:ascii="Times New Roman" w:hAnsi="Times New Roman" w:cs="Times New Roman"/>
          <w:b/>
          <w:sz w:val="24"/>
          <w:szCs w:val="24"/>
        </w:rPr>
        <w:t>s trade mark or its imitation</w:t>
      </w:r>
      <w:r>
        <w:rPr>
          <w:rFonts w:ascii="Times New Roman" w:hAnsi="Times New Roman" w:cs="Times New Roman"/>
          <w:b/>
          <w:sz w:val="24"/>
          <w:szCs w:val="24"/>
        </w:rPr>
        <w:t xml:space="preserve">: </w:t>
      </w:r>
      <w:r w:rsidR="003D4CDA" w:rsidRPr="003D4CDA">
        <w:rPr>
          <w:rFonts w:ascii="Times New Roman" w:hAnsi="Times New Roman" w:cs="Times New Roman"/>
          <w:sz w:val="24"/>
          <w:szCs w:val="24"/>
        </w:rPr>
        <w:t xml:space="preserve">It is actionable in passing off for a defendant to market his goods using the plaintiff’s trademark or its imitation leading to a confusion of the buyers, who then patronize his product thinking that they are the product of the plaintiff. Trademarks are usually registered and also </w:t>
      </w:r>
      <w:r>
        <w:rPr>
          <w:rFonts w:ascii="Times New Roman" w:hAnsi="Times New Roman" w:cs="Times New Roman"/>
          <w:sz w:val="24"/>
          <w:szCs w:val="24"/>
        </w:rPr>
        <w:t xml:space="preserve">protected under the </w:t>
      </w:r>
      <w:r w:rsidRPr="00532D9C">
        <w:rPr>
          <w:rFonts w:ascii="Times New Roman" w:hAnsi="Times New Roman" w:cs="Times New Roman"/>
          <w:b/>
          <w:sz w:val="24"/>
          <w:szCs w:val="24"/>
        </w:rPr>
        <w:t>Merchandise</w:t>
      </w:r>
      <w:r>
        <w:rPr>
          <w:rFonts w:ascii="Times New Roman" w:hAnsi="Times New Roman" w:cs="Times New Roman"/>
          <w:b/>
          <w:sz w:val="24"/>
          <w:szCs w:val="24"/>
        </w:rPr>
        <w:t xml:space="preserve"> Marks Act 2004</w:t>
      </w:r>
      <w:r w:rsidR="00566A6B">
        <w:rPr>
          <w:rStyle w:val="FootnoteReference"/>
          <w:rFonts w:ascii="Times New Roman" w:hAnsi="Times New Roman" w:cs="Times New Roman"/>
          <w:b/>
          <w:sz w:val="24"/>
          <w:szCs w:val="24"/>
        </w:rPr>
        <w:footnoteReference w:id="6"/>
      </w:r>
      <w:r>
        <w:rPr>
          <w:rFonts w:ascii="Times New Roman" w:hAnsi="Times New Roman" w:cs="Times New Roman"/>
          <w:b/>
          <w:sz w:val="24"/>
          <w:szCs w:val="24"/>
        </w:rPr>
        <w:t xml:space="preserve">. </w:t>
      </w:r>
      <w:r w:rsidR="003D4CDA" w:rsidRPr="003D4CDA">
        <w:rPr>
          <w:rFonts w:ascii="Times New Roman" w:hAnsi="Times New Roman" w:cs="Times New Roman"/>
          <w:sz w:val="24"/>
          <w:szCs w:val="24"/>
        </w:rPr>
        <w:t xml:space="preserve">Also in </w:t>
      </w:r>
      <w:r w:rsidR="003D4CDA" w:rsidRPr="00532D9C">
        <w:rPr>
          <w:rFonts w:ascii="Times New Roman" w:hAnsi="Times New Roman" w:cs="Times New Roman"/>
          <w:b/>
          <w:sz w:val="24"/>
          <w:szCs w:val="24"/>
        </w:rPr>
        <w:t xml:space="preserve">Perry v. </w:t>
      </w:r>
      <w:proofErr w:type="spellStart"/>
      <w:r w:rsidR="003D4CDA" w:rsidRPr="00532D9C">
        <w:rPr>
          <w:rFonts w:ascii="Times New Roman" w:hAnsi="Times New Roman" w:cs="Times New Roman"/>
          <w:b/>
          <w:sz w:val="24"/>
          <w:szCs w:val="24"/>
        </w:rPr>
        <w:t>Truefitt</w:t>
      </w:r>
      <w:proofErr w:type="spellEnd"/>
      <w:r w:rsidR="00566A6B">
        <w:rPr>
          <w:rStyle w:val="FootnoteReference"/>
          <w:rFonts w:ascii="Times New Roman" w:hAnsi="Times New Roman" w:cs="Times New Roman"/>
          <w:b/>
          <w:sz w:val="24"/>
          <w:szCs w:val="24"/>
        </w:rPr>
        <w:footnoteReference w:id="7"/>
      </w:r>
      <w:r w:rsidR="003D4CDA" w:rsidRPr="003D4CDA">
        <w:rPr>
          <w:rFonts w:ascii="Times New Roman" w:hAnsi="Times New Roman" w:cs="Times New Roman"/>
          <w:sz w:val="24"/>
          <w:szCs w:val="24"/>
        </w:rPr>
        <w:t xml:space="preserve"> – the plaintiff obtained an injunction to restrain the defendants from selling a certain hair cream under the name of ‘Medicated Mexican Balm’ or other similar designations. </w:t>
      </w:r>
      <w:r w:rsidR="003D4CDA" w:rsidRPr="00532D9C">
        <w:rPr>
          <w:rFonts w:ascii="Times New Roman" w:hAnsi="Times New Roman" w:cs="Times New Roman"/>
          <w:b/>
          <w:sz w:val="24"/>
          <w:szCs w:val="24"/>
        </w:rPr>
        <w:t>Reckitt &amp; Colman Ltd v. Borden</w:t>
      </w:r>
      <w:r w:rsidR="00566A6B">
        <w:rPr>
          <w:rStyle w:val="FootnoteReference"/>
          <w:rFonts w:ascii="Times New Roman" w:hAnsi="Times New Roman" w:cs="Times New Roman"/>
          <w:b/>
          <w:sz w:val="24"/>
          <w:szCs w:val="24"/>
        </w:rPr>
        <w:footnoteReference w:id="8"/>
      </w:r>
      <w:r w:rsidR="003D4CDA" w:rsidRPr="00532D9C">
        <w:rPr>
          <w:rFonts w:ascii="Times New Roman" w:hAnsi="Times New Roman" w:cs="Times New Roman"/>
          <w:b/>
          <w:sz w:val="24"/>
          <w:szCs w:val="24"/>
        </w:rPr>
        <w:t xml:space="preserve">. </w:t>
      </w:r>
    </w:p>
    <w:p w:rsidR="00532D9C" w:rsidRDefault="00532D9C" w:rsidP="00C86DB7">
      <w:pPr>
        <w:tabs>
          <w:tab w:val="left" w:pos="975"/>
        </w:tabs>
        <w:spacing w:line="360" w:lineRule="auto"/>
        <w:rPr>
          <w:rFonts w:ascii="Times New Roman" w:hAnsi="Times New Roman" w:cs="Times New Roman"/>
          <w:b/>
          <w:sz w:val="24"/>
          <w:szCs w:val="24"/>
        </w:rPr>
      </w:pPr>
      <w:r>
        <w:rPr>
          <w:rFonts w:ascii="Times New Roman" w:hAnsi="Times New Roman" w:cs="Times New Roman"/>
          <w:b/>
          <w:sz w:val="24"/>
          <w:szCs w:val="24"/>
        </w:rPr>
        <w:t>5. Imitating the appearance of the plaintiff</w:t>
      </w:r>
      <w:r w:rsidR="008A60ED">
        <w:rPr>
          <w:rFonts w:ascii="Times New Roman" w:hAnsi="Times New Roman" w:cs="Times New Roman"/>
          <w:b/>
          <w:sz w:val="24"/>
          <w:szCs w:val="24"/>
        </w:rPr>
        <w:t>’</w:t>
      </w:r>
      <w:r>
        <w:rPr>
          <w:rFonts w:ascii="Times New Roman" w:hAnsi="Times New Roman" w:cs="Times New Roman"/>
          <w:b/>
          <w:sz w:val="24"/>
          <w:szCs w:val="24"/>
        </w:rPr>
        <w:t xml:space="preserve">s product and its advertisement: </w:t>
      </w:r>
      <w:r w:rsidR="003D4CDA" w:rsidRPr="003D4CDA">
        <w:rPr>
          <w:rFonts w:ascii="Times New Roman" w:hAnsi="Times New Roman" w:cs="Times New Roman"/>
          <w:sz w:val="24"/>
          <w:szCs w:val="24"/>
        </w:rPr>
        <w:t xml:space="preserve">It is passing off for the defendant to do anything, which makes his product appear like the plaintiff’s product. </w:t>
      </w:r>
      <w:r w:rsidR="003D4CDA" w:rsidRPr="003D4CDA">
        <w:rPr>
          <w:rFonts w:ascii="Times New Roman" w:hAnsi="Times New Roman" w:cs="Times New Roman"/>
          <w:sz w:val="24"/>
          <w:szCs w:val="24"/>
        </w:rPr>
        <w:lastRenderedPageBreak/>
        <w:t xml:space="preserve">This passing off includes any copying of the likeness or appearance of the plaintiff’s product, in a manner to confuse the public e.g. general appearance, package, label, or design of the product. </w:t>
      </w:r>
      <w:r w:rsidR="003D4CDA" w:rsidRPr="00532D9C">
        <w:rPr>
          <w:rFonts w:ascii="Times New Roman" w:hAnsi="Times New Roman" w:cs="Times New Roman"/>
          <w:b/>
          <w:sz w:val="24"/>
          <w:szCs w:val="24"/>
        </w:rPr>
        <w:t xml:space="preserve">De facto Works Ltd v. </w:t>
      </w:r>
      <w:proofErr w:type="spellStart"/>
      <w:r w:rsidR="003D4CDA" w:rsidRPr="00532D9C">
        <w:rPr>
          <w:rFonts w:ascii="Times New Roman" w:hAnsi="Times New Roman" w:cs="Times New Roman"/>
          <w:b/>
          <w:sz w:val="24"/>
          <w:szCs w:val="24"/>
        </w:rPr>
        <w:t>Odumotun</w:t>
      </w:r>
      <w:proofErr w:type="spellEnd"/>
      <w:r w:rsidR="003D4CDA" w:rsidRPr="00532D9C">
        <w:rPr>
          <w:rFonts w:ascii="Times New Roman" w:hAnsi="Times New Roman" w:cs="Times New Roman"/>
          <w:b/>
          <w:sz w:val="24"/>
          <w:szCs w:val="24"/>
        </w:rPr>
        <w:t xml:space="preserve"> Trading Co Ltd.</w:t>
      </w:r>
      <w:r w:rsidR="008A60ED">
        <w:rPr>
          <w:rStyle w:val="FootnoteReference"/>
          <w:rFonts w:ascii="Times New Roman" w:hAnsi="Times New Roman" w:cs="Times New Roman"/>
          <w:b/>
          <w:sz w:val="24"/>
          <w:szCs w:val="24"/>
        </w:rPr>
        <w:footnoteReference w:id="9"/>
      </w:r>
      <w:r w:rsidR="003D4CDA" w:rsidRPr="003D4CDA">
        <w:rPr>
          <w:rFonts w:ascii="Times New Roman" w:hAnsi="Times New Roman" w:cs="Times New Roman"/>
          <w:sz w:val="24"/>
          <w:szCs w:val="24"/>
        </w:rPr>
        <w:t xml:space="preserve"> and </w:t>
      </w:r>
      <w:r w:rsidR="003D4CDA" w:rsidRPr="00532D9C">
        <w:rPr>
          <w:rFonts w:ascii="Times New Roman" w:hAnsi="Times New Roman" w:cs="Times New Roman"/>
          <w:b/>
          <w:sz w:val="24"/>
          <w:szCs w:val="24"/>
        </w:rPr>
        <w:t>Hudson &amp; Co.</w:t>
      </w:r>
      <w:r>
        <w:rPr>
          <w:rFonts w:ascii="Times New Roman" w:hAnsi="Times New Roman" w:cs="Times New Roman"/>
          <w:b/>
          <w:sz w:val="24"/>
          <w:szCs w:val="24"/>
        </w:rPr>
        <w:t xml:space="preserve"> v. Asian</w:t>
      </w:r>
      <w:r w:rsidR="008A60ED">
        <w:rPr>
          <w:rStyle w:val="FootnoteReference"/>
          <w:rFonts w:ascii="Times New Roman" w:hAnsi="Times New Roman" w:cs="Times New Roman"/>
          <w:b/>
          <w:sz w:val="24"/>
          <w:szCs w:val="24"/>
        </w:rPr>
        <w:footnoteReference w:id="10"/>
      </w:r>
      <w:r>
        <w:rPr>
          <w:rFonts w:ascii="Times New Roman" w:hAnsi="Times New Roman" w:cs="Times New Roman"/>
          <w:b/>
          <w:sz w:val="24"/>
          <w:szCs w:val="24"/>
        </w:rPr>
        <w:t xml:space="preserve">. </w:t>
      </w:r>
      <w:r w:rsidR="003D4CDA" w:rsidRPr="003D4CDA">
        <w:rPr>
          <w:rFonts w:ascii="Times New Roman" w:hAnsi="Times New Roman" w:cs="Times New Roman"/>
          <w:sz w:val="24"/>
          <w:szCs w:val="24"/>
        </w:rPr>
        <w:t>Also an advertisement by the defendant which copies, or imitates the plaintiff’s advertisement  of  his  products, may  amount  to  passing  off, where  such</w:t>
      </w:r>
      <w:r>
        <w:rPr>
          <w:rFonts w:ascii="Times New Roman" w:hAnsi="Times New Roman" w:cs="Times New Roman"/>
          <w:sz w:val="24"/>
          <w:szCs w:val="24"/>
        </w:rPr>
        <w:t xml:space="preserve"> </w:t>
      </w:r>
      <w:r w:rsidR="003D4CDA" w:rsidRPr="003D4CDA">
        <w:rPr>
          <w:rFonts w:ascii="Times New Roman" w:hAnsi="Times New Roman" w:cs="Times New Roman"/>
          <w:sz w:val="24"/>
          <w:szCs w:val="24"/>
        </w:rPr>
        <w:t>advertisement so resembles that of the plaintiff, as to be capable of misleading the  buyers  to</w:t>
      </w:r>
      <w:r>
        <w:rPr>
          <w:rFonts w:ascii="Times New Roman" w:hAnsi="Times New Roman" w:cs="Times New Roman"/>
          <w:sz w:val="24"/>
          <w:szCs w:val="24"/>
        </w:rPr>
        <w:t xml:space="preserve"> </w:t>
      </w:r>
      <w:r w:rsidR="003D4CDA" w:rsidRPr="003D4CDA">
        <w:rPr>
          <w:rFonts w:ascii="Times New Roman" w:hAnsi="Times New Roman" w:cs="Times New Roman"/>
          <w:sz w:val="24"/>
          <w:szCs w:val="24"/>
        </w:rPr>
        <w:t>patronize the  defendant’s goods as  those of the  plaintiff.</w:t>
      </w:r>
      <w:r w:rsidR="003D4CDA">
        <w:rPr>
          <w:rFonts w:ascii="Times New Roman" w:hAnsi="Times New Roman" w:cs="Times New Roman"/>
          <w:sz w:val="24"/>
          <w:szCs w:val="24"/>
        </w:rPr>
        <w:t xml:space="preserve"> </w:t>
      </w:r>
    </w:p>
    <w:p w:rsidR="00532D9C" w:rsidRDefault="00532D9C" w:rsidP="00C86DB7">
      <w:pPr>
        <w:tabs>
          <w:tab w:val="left" w:pos="975"/>
        </w:tabs>
        <w:spacing w:line="360" w:lineRule="auto"/>
        <w:rPr>
          <w:rFonts w:ascii="Times New Roman" w:hAnsi="Times New Roman" w:cs="Times New Roman"/>
          <w:b/>
          <w:sz w:val="24"/>
          <w:szCs w:val="24"/>
        </w:rPr>
      </w:pPr>
      <w:r>
        <w:rPr>
          <w:rFonts w:ascii="Times New Roman" w:hAnsi="Times New Roman" w:cs="Times New Roman"/>
          <w:b/>
          <w:sz w:val="24"/>
          <w:szCs w:val="24"/>
        </w:rPr>
        <w:t>6</w:t>
      </w:r>
      <w:r w:rsidRPr="00532D9C">
        <w:rPr>
          <w:rFonts w:ascii="Times New Roman" w:hAnsi="Times New Roman" w:cs="Times New Roman"/>
          <w:b/>
          <w:sz w:val="24"/>
          <w:szCs w:val="24"/>
        </w:rPr>
        <w:t>. Selling inferior or expired goods of the as original or current stock</w:t>
      </w:r>
      <w:r>
        <w:rPr>
          <w:rFonts w:ascii="Times New Roman" w:hAnsi="Times New Roman" w:cs="Times New Roman"/>
          <w:b/>
          <w:sz w:val="24"/>
          <w:szCs w:val="24"/>
        </w:rPr>
        <w:t>:</w:t>
      </w:r>
      <w:r w:rsidRPr="00532D9C">
        <w:rPr>
          <w:rFonts w:ascii="Times New Roman" w:hAnsi="Times New Roman" w:cs="Times New Roman"/>
          <w:b/>
          <w:sz w:val="24"/>
          <w:szCs w:val="24"/>
        </w:rPr>
        <w:t xml:space="preserve"> </w:t>
      </w:r>
      <w:r w:rsidR="003D4CDA" w:rsidRPr="003D4CDA">
        <w:rPr>
          <w:rFonts w:ascii="Times New Roman" w:hAnsi="Times New Roman" w:cs="Times New Roman"/>
          <w:sz w:val="24"/>
          <w:szCs w:val="24"/>
        </w:rPr>
        <w:t xml:space="preserve">It is a passing off for a defendant to sell inferior or expired goods/products of the plaintiff as current stock, where such has been discarded by the plaintiff. In this passing off, the defendant who has managed to lay hands on the goods, which are unfit for human consumption sell them off as current stock of the plaintiff. </w:t>
      </w:r>
      <w:r w:rsidR="003D4CDA" w:rsidRPr="00532D9C">
        <w:rPr>
          <w:rFonts w:ascii="Times New Roman" w:hAnsi="Times New Roman" w:cs="Times New Roman"/>
          <w:b/>
          <w:sz w:val="24"/>
          <w:szCs w:val="24"/>
        </w:rPr>
        <w:t>See Wilts Ltd v. Thomas Robinson Sons &amp; Co Ltd</w:t>
      </w:r>
      <w:r w:rsidR="008A60ED">
        <w:rPr>
          <w:rStyle w:val="FootnoteReference"/>
          <w:rFonts w:ascii="Times New Roman" w:hAnsi="Times New Roman" w:cs="Times New Roman"/>
          <w:b/>
          <w:sz w:val="24"/>
          <w:szCs w:val="24"/>
        </w:rPr>
        <w:footnoteReference w:id="11"/>
      </w:r>
      <w:r w:rsidR="003D4CDA" w:rsidRPr="003D4CDA">
        <w:rPr>
          <w:rFonts w:ascii="Times New Roman" w:hAnsi="Times New Roman" w:cs="Times New Roman"/>
          <w:sz w:val="24"/>
          <w:szCs w:val="24"/>
        </w:rPr>
        <w:t xml:space="preserve"> and </w:t>
      </w:r>
      <w:proofErr w:type="spellStart"/>
      <w:r w:rsidR="003D4CDA" w:rsidRPr="00532D9C">
        <w:rPr>
          <w:rFonts w:ascii="Times New Roman" w:hAnsi="Times New Roman" w:cs="Times New Roman"/>
          <w:b/>
          <w:sz w:val="24"/>
          <w:szCs w:val="24"/>
        </w:rPr>
        <w:t>Gittette</w:t>
      </w:r>
      <w:proofErr w:type="spellEnd"/>
      <w:r w:rsidR="003D4CDA" w:rsidRPr="00532D9C">
        <w:rPr>
          <w:rFonts w:ascii="Times New Roman" w:hAnsi="Times New Roman" w:cs="Times New Roman"/>
          <w:b/>
          <w:sz w:val="24"/>
          <w:szCs w:val="24"/>
        </w:rPr>
        <w:t xml:space="preserve"> Safety Razor Co &amp; Amo</w:t>
      </w:r>
      <w:r>
        <w:rPr>
          <w:rFonts w:ascii="Times New Roman" w:hAnsi="Times New Roman" w:cs="Times New Roman"/>
          <w:b/>
          <w:sz w:val="24"/>
          <w:szCs w:val="24"/>
        </w:rPr>
        <w:t>r v. Franks</w:t>
      </w:r>
      <w:r w:rsidR="008A60ED">
        <w:rPr>
          <w:rStyle w:val="FootnoteReference"/>
          <w:rFonts w:ascii="Times New Roman" w:hAnsi="Times New Roman" w:cs="Times New Roman"/>
          <w:b/>
          <w:sz w:val="24"/>
          <w:szCs w:val="24"/>
        </w:rPr>
        <w:footnoteReference w:id="12"/>
      </w:r>
      <w:r>
        <w:rPr>
          <w:rFonts w:ascii="Times New Roman" w:hAnsi="Times New Roman" w:cs="Times New Roman"/>
          <w:b/>
          <w:sz w:val="24"/>
          <w:szCs w:val="24"/>
        </w:rPr>
        <w:t xml:space="preserve">. </w:t>
      </w:r>
    </w:p>
    <w:p w:rsidR="009772E0" w:rsidRDefault="003D4CDA" w:rsidP="00C86DB7">
      <w:pPr>
        <w:tabs>
          <w:tab w:val="left" w:pos="975"/>
        </w:tabs>
        <w:spacing w:line="360" w:lineRule="auto"/>
        <w:rPr>
          <w:rFonts w:ascii="Times New Roman" w:hAnsi="Times New Roman" w:cs="Times New Roman"/>
          <w:b/>
          <w:sz w:val="24"/>
          <w:szCs w:val="24"/>
        </w:rPr>
      </w:pPr>
      <w:r w:rsidRPr="003D4CDA">
        <w:rPr>
          <w:rFonts w:ascii="Times New Roman" w:hAnsi="Times New Roman" w:cs="Times New Roman"/>
          <w:sz w:val="24"/>
          <w:szCs w:val="24"/>
        </w:rPr>
        <w:t xml:space="preserve">Note: There is no passing off, when old goods/products or second hand goods are sold off as such without pretending or falsely representing that they are new ones – </w:t>
      </w:r>
      <w:r w:rsidRPr="00532D9C">
        <w:rPr>
          <w:rFonts w:ascii="Times New Roman" w:hAnsi="Times New Roman" w:cs="Times New Roman"/>
          <w:b/>
          <w:sz w:val="24"/>
          <w:szCs w:val="24"/>
        </w:rPr>
        <w:t>General Electric Co v. Pryce’s Stores</w:t>
      </w:r>
      <w:r w:rsidR="008A60ED">
        <w:rPr>
          <w:rStyle w:val="FootnoteReference"/>
          <w:rFonts w:ascii="Times New Roman" w:hAnsi="Times New Roman" w:cs="Times New Roman"/>
          <w:b/>
          <w:sz w:val="24"/>
          <w:szCs w:val="24"/>
        </w:rPr>
        <w:footnoteReference w:id="13"/>
      </w:r>
      <w:r w:rsidRPr="00532D9C">
        <w:rPr>
          <w:rFonts w:ascii="Times New Roman" w:hAnsi="Times New Roman" w:cs="Times New Roman"/>
          <w:b/>
          <w:sz w:val="24"/>
          <w:szCs w:val="24"/>
        </w:rPr>
        <w:t>.</w:t>
      </w:r>
    </w:p>
    <w:p w:rsidR="008C63FA" w:rsidRPr="00956831" w:rsidRDefault="00956831" w:rsidP="00C86DB7">
      <w:pPr>
        <w:tabs>
          <w:tab w:val="left" w:pos="975"/>
        </w:tabs>
        <w:spacing w:line="360" w:lineRule="auto"/>
        <w:rPr>
          <w:rFonts w:ascii="Times New Roman" w:hAnsi="Times New Roman" w:cs="Times New Roman"/>
          <w:b/>
          <w:sz w:val="24"/>
          <w:szCs w:val="24"/>
        </w:rPr>
      </w:pPr>
      <w:r w:rsidRPr="00956831">
        <w:rPr>
          <w:rFonts w:ascii="Times New Roman" w:hAnsi="Times New Roman" w:cs="Times New Roman"/>
          <w:b/>
          <w:sz w:val="24"/>
          <w:szCs w:val="24"/>
        </w:rPr>
        <w:t xml:space="preserve">Relevance/importance/purpose of law of passing off </w:t>
      </w:r>
      <w:r>
        <w:rPr>
          <w:rFonts w:ascii="Times New Roman" w:hAnsi="Times New Roman" w:cs="Times New Roman"/>
          <w:b/>
          <w:sz w:val="24"/>
          <w:szCs w:val="24"/>
        </w:rPr>
        <w:t xml:space="preserve">                                                         </w:t>
      </w:r>
      <w:r w:rsidR="000143D7">
        <w:rPr>
          <w:rFonts w:ascii="Times New Roman" w:hAnsi="Times New Roman" w:cs="Times New Roman"/>
          <w:sz w:val="24"/>
          <w:szCs w:val="24"/>
        </w:rPr>
        <w:t xml:space="preserve">Anyone committing the tort of passing off is causing financial harm to the original owner of the goodwill because if the customers are not satisfied or aren’t met with the expectation they promised or have been getting, it could hinder the customers from wanting to get more of that good/service and considering the high level of the tort of passing off that Nigeria </w:t>
      </w:r>
      <w:r w:rsidR="008C63FA">
        <w:rPr>
          <w:rFonts w:ascii="Times New Roman" w:hAnsi="Times New Roman" w:cs="Times New Roman"/>
          <w:sz w:val="24"/>
          <w:szCs w:val="24"/>
        </w:rPr>
        <w:t>has, there is a clear need for the law of passing of in Nigeria today.</w:t>
      </w:r>
      <w:r w:rsidR="005C1EA7">
        <w:rPr>
          <w:rFonts w:ascii="Times New Roman" w:hAnsi="Times New Roman" w:cs="Times New Roman"/>
          <w:sz w:val="24"/>
          <w:szCs w:val="24"/>
        </w:rPr>
        <w:t xml:space="preserve"> </w:t>
      </w:r>
      <w:r w:rsidR="008C63FA">
        <w:rPr>
          <w:rFonts w:ascii="Times New Roman" w:hAnsi="Times New Roman" w:cs="Times New Roman"/>
          <w:sz w:val="24"/>
          <w:szCs w:val="24"/>
        </w:rPr>
        <w:t>Passing off is also relevant due to the bad stain on the person’s name/ business as a result of certain persons who deem it fit for them to break the law and take advantage of another person’s goodwill</w:t>
      </w:r>
    </w:p>
    <w:p w:rsidR="003D4CDA" w:rsidRDefault="008C63FA" w:rsidP="00C86DB7">
      <w:pPr>
        <w:tabs>
          <w:tab w:val="left" w:pos="975"/>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is very common in </w:t>
      </w:r>
      <w:proofErr w:type="gramStart"/>
      <w:r>
        <w:rPr>
          <w:rFonts w:ascii="Times New Roman" w:hAnsi="Times New Roman" w:cs="Times New Roman"/>
          <w:sz w:val="24"/>
          <w:szCs w:val="24"/>
        </w:rPr>
        <w:t>country</w:t>
      </w:r>
      <w:r w:rsidR="005C1EA7">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 xml:space="preserve"> with competitive business economy like Nigeria whereby people resort to every marketing strategy to market their product </w:t>
      </w:r>
      <w:r w:rsidR="005C1EA7">
        <w:rPr>
          <w:rFonts w:ascii="Times New Roman" w:hAnsi="Times New Roman" w:cs="Times New Roman"/>
          <w:sz w:val="24"/>
          <w:szCs w:val="24"/>
        </w:rPr>
        <w:t xml:space="preserve">and services to </w:t>
      </w:r>
      <w:r w:rsidR="005C1EA7">
        <w:rPr>
          <w:rFonts w:ascii="Times New Roman" w:hAnsi="Times New Roman" w:cs="Times New Roman"/>
          <w:sz w:val="24"/>
          <w:szCs w:val="24"/>
        </w:rPr>
        <w:lastRenderedPageBreak/>
        <w:t>survive/ expand. T</w:t>
      </w:r>
      <w:r>
        <w:rPr>
          <w:rFonts w:ascii="Times New Roman" w:hAnsi="Times New Roman" w:cs="Times New Roman"/>
          <w:sz w:val="24"/>
          <w:szCs w:val="24"/>
        </w:rPr>
        <w:t xml:space="preserve">he law of passing of </w:t>
      </w:r>
      <w:r w:rsidR="005C1EA7">
        <w:rPr>
          <w:rFonts w:ascii="Times New Roman" w:hAnsi="Times New Roman" w:cs="Times New Roman"/>
          <w:sz w:val="24"/>
          <w:szCs w:val="24"/>
        </w:rPr>
        <w:t>protects the reputation and goodwill a business has built up for itself. It protects the benefits and advantages of the good name, quantity, reputation, patronage and customers of business. It protects that attractive force of the business which brings customers to it. The tort of passing of protects</w:t>
      </w:r>
      <w:r w:rsidR="006E0FF7">
        <w:rPr>
          <w:rFonts w:ascii="Times New Roman" w:hAnsi="Times New Roman" w:cs="Times New Roman"/>
          <w:sz w:val="24"/>
          <w:szCs w:val="24"/>
        </w:rPr>
        <w:t xml:space="preserve"> a business against misrepresentation of the business, directed at its customers and calculated to damage the reputation and goodwill of the business. SIR JOHN SALMOND</w:t>
      </w:r>
      <w:r w:rsidR="008A60ED">
        <w:rPr>
          <w:rStyle w:val="FootnoteReference"/>
          <w:rFonts w:ascii="Times New Roman" w:hAnsi="Times New Roman" w:cs="Times New Roman"/>
          <w:sz w:val="24"/>
          <w:szCs w:val="24"/>
        </w:rPr>
        <w:footnoteReference w:id="14"/>
      </w:r>
      <w:r w:rsidR="006E0FF7">
        <w:rPr>
          <w:rFonts w:ascii="Times New Roman" w:hAnsi="Times New Roman" w:cs="Times New Roman"/>
          <w:sz w:val="24"/>
          <w:szCs w:val="24"/>
        </w:rPr>
        <w:t xml:space="preserve"> in his book law of tort stated the reason for the tort of passing off thus:                                                                                                                                                                            </w:t>
      </w:r>
      <w:r w:rsidR="006E0FF7" w:rsidRPr="006E0FF7">
        <w:rPr>
          <w:rStyle w:val="SubtleEmphasis"/>
          <w:rFonts w:ascii="Times New Roman" w:hAnsi="Times New Roman" w:cs="Times New Roman"/>
          <w:sz w:val="24"/>
          <w:szCs w:val="24"/>
        </w:rPr>
        <w:t>“the law…….is designed to protect traders against….unfair competition which consists in acquiring for oneself, by means of false, or misleading devices, the benefits of the reputation already achieved by rival traders”</w:t>
      </w:r>
      <w:r w:rsidR="005C1EA7">
        <w:rPr>
          <w:rFonts w:ascii="Times New Roman" w:hAnsi="Times New Roman" w:cs="Times New Roman"/>
          <w:sz w:val="24"/>
          <w:szCs w:val="24"/>
        </w:rPr>
        <w:t xml:space="preserve"> </w:t>
      </w:r>
      <w:r w:rsidR="00297055">
        <w:rPr>
          <w:rFonts w:ascii="Times New Roman" w:hAnsi="Times New Roman" w:cs="Times New Roman"/>
          <w:sz w:val="24"/>
          <w:szCs w:val="24"/>
        </w:rPr>
        <w:t xml:space="preserve"> </w:t>
      </w:r>
    </w:p>
    <w:p w:rsidR="00956831" w:rsidRPr="00956831" w:rsidRDefault="006E0FF7" w:rsidP="00C86DB7">
      <w:pPr>
        <w:tabs>
          <w:tab w:val="left" w:pos="975"/>
        </w:tabs>
        <w:spacing w:line="360" w:lineRule="auto"/>
        <w:rPr>
          <w:rStyle w:val="SubtleEmphasis"/>
          <w:rFonts w:ascii="Times New Roman" w:hAnsi="Times New Roman" w:cs="Times New Roman"/>
          <w:sz w:val="24"/>
          <w:szCs w:val="24"/>
        </w:rPr>
      </w:pPr>
      <w:r>
        <w:rPr>
          <w:rFonts w:ascii="Times New Roman" w:hAnsi="Times New Roman" w:cs="Times New Roman"/>
          <w:sz w:val="24"/>
          <w:szCs w:val="24"/>
        </w:rPr>
        <w:t xml:space="preserve">In the words of LORD KINGSDOM in </w:t>
      </w:r>
      <w:r w:rsidRPr="00956831">
        <w:rPr>
          <w:rFonts w:ascii="Times New Roman" w:hAnsi="Times New Roman" w:cs="Times New Roman"/>
          <w:b/>
          <w:sz w:val="24"/>
          <w:szCs w:val="24"/>
        </w:rPr>
        <w:t>leather Cloth Co v America</w:t>
      </w:r>
      <w:r w:rsidR="00956831" w:rsidRPr="00956831">
        <w:rPr>
          <w:rFonts w:ascii="Times New Roman" w:hAnsi="Times New Roman" w:cs="Times New Roman"/>
          <w:b/>
          <w:sz w:val="24"/>
          <w:szCs w:val="24"/>
        </w:rPr>
        <w:t>n leather Cloth Co</w:t>
      </w:r>
      <w:r w:rsidR="008A60ED">
        <w:rPr>
          <w:rStyle w:val="FootnoteReference"/>
          <w:rFonts w:ascii="Times New Roman" w:hAnsi="Times New Roman" w:cs="Times New Roman"/>
          <w:b/>
          <w:sz w:val="24"/>
          <w:szCs w:val="24"/>
        </w:rPr>
        <w:footnoteReference w:id="15"/>
      </w:r>
      <w:r w:rsidR="00956831">
        <w:rPr>
          <w:rFonts w:ascii="Times New Roman" w:hAnsi="Times New Roman" w:cs="Times New Roman"/>
          <w:sz w:val="24"/>
          <w:szCs w:val="24"/>
        </w:rPr>
        <w:t xml:space="preserve">:                                     </w:t>
      </w:r>
      <w:r w:rsidR="00956831" w:rsidRPr="00956831">
        <w:rPr>
          <w:rStyle w:val="SubtleEmphasis"/>
          <w:rFonts w:ascii="Times New Roman" w:hAnsi="Times New Roman" w:cs="Times New Roman"/>
          <w:sz w:val="24"/>
          <w:szCs w:val="24"/>
        </w:rPr>
        <w:t>“the fundamental rule is that one man has no right to put off his goods for sale as the goods of a rival trader”</w:t>
      </w:r>
    </w:p>
    <w:p w:rsidR="003D4CDA" w:rsidRPr="003D4CDA" w:rsidRDefault="00956831" w:rsidP="00C86DB7">
      <w:pPr>
        <w:tabs>
          <w:tab w:val="left" w:pos="975"/>
        </w:tabs>
        <w:spacing w:line="360" w:lineRule="auto"/>
        <w:rPr>
          <w:rFonts w:ascii="Times New Roman" w:hAnsi="Times New Roman" w:cs="Times New Roman"/>
          <w:sz w:val="24"/>
          <w:szCs w:val="24"/>
        </w:rPr>
      </w:pPr>
      <w:r w:rsidRPr="00956831">
        <w:rPr>
          <w:rFonts w:ascii="Times New Roman" w:hAnsi="Times New Roman" w:cs="Times New Roman"/>
          <w:sz w:val="24"/>
          <w:szCs w:val="24"/>
        </w:rPr>
        <w:t>With the rapid growth in the economic sector and the country at large, anyone with the zeal to succeed would instinctively want to get in on the opportunity to cash out and would do so by all means some legal, some illegal/unlawful. Whilst taking advantage of another person’s goodwill, that is the value or the good name the person has made for his business/ himself. Which is where the law of passing off comes to play. It is very essential to this 21st century Nigeria which makes passing off relevant in many ways.</w:t>
      </w:r>
    </w:p>
    <w:p w:rsidR="003D4CDA" w:rsidRPr="003D4CDA" w:rsidRDefault="003D4CDA" w:rsidP="00C86DB7">
      <w:pPr>
        <w:tabs>
          <w:tab w:val="left" w:pos="975"/>
        </w:tabs>
        <w:spacing w:line="360" w:lineRule="auto"/>
        <w:rPr>
          <w:rFonts w:ascii="Times New Roman" w:hAnsi="Times New Roman" w:cs="Times New Roman"/>
          <w:sz w:val="24"/>
          <w:szCs w:val="24"/>
        </w:rPr>
      </w:pPr>
      <w:r w:rsidRPr="003D4CDA">
        <w:rPr>
          <w:rFonts w:ascii="Times New Roman" w:hAnsi="Times New Roman" w:cs="Times New Roman"/>
          <w:sz w:val="24"/>
          <w:szCs w:val="24"/>
        </w:rPr>
        <w:t xml:space="preserve"> </w:t>
      </w:r>
    </w:p>
    <w:p w:rsidR="003D4CDA" w:rsidRDefault="003D4CDA" w:rsidP="00C86DB7">
      <w:pPr>
        <w:tabs>
          <w:tab w:val="left" w:pos="975"/>
        </w:tabs>
        <w:spacing w:line="360" w:lineRule="auto"/>
        <w:rPr>
          <w:rFonts w:ascii="Times New Roman" w:hAnsi="Times New Roman" w:cs="Times New Roman"/>
          <w:sz w:val="24"/>
          <w:szCs w:val="24"/>
        </w:rPr>
      </w:pPr>
    </w:p>
    <w:p w:rsidR="00ED0ABF" w:rsidRDefault="00ED0ABF" w:rsidP="00C86DB7">
      <w:pPr>
        <w:tabs>
          <w:tab w:val="left" w:pos="975"/>
        </w:tabs>
        <w:spacing w:line="360" w:lineRule="auto"/>
        <w:rPr>
          <w:rFonts w:ascii="Times New Roman" w:hAnsi="Times New Roman" w:cs="Times New Roman"/>
          <w:sz w:val="24"/>
          <w:szCs w:val="24"/>
        </w:rPr>
      </w:pPr>
    </w:p>
    <w:p w:rsidR="00ED0ABF" w:rsidRDefault="00ED0ABF" w:rsidP="00C86DB7">
      <w:pPr>
        <w:tabs>
          <w:tab w:val="left" w:pos="975"/>
        </w:tabs>
        <w:spacing w:line="360" w:lineRule="auto"/>
        <w:rPr>
          <w:rFonts w:ascii="Times New Roman" w:hAnsi="Times New Roman" w:cs="Times New Roman"/>
          <w:sz w:val="24"/>
          <w:szCs w:val="24"/>
        </w:rPr>
      </w:pPr>
    </w:p>
    <w:p w:rsidR="00ED0ABF" w:rsidRPr="00F1447E" w:rsidRDefault="00ED0ABF" w:rsidP="00C86DB7">
      <w:pPr>
        <w:tabs>
          <w:tab w:val="left" w:pos="975"/>
        </w:tabs>
        <w:spacing w:line="360" w:lineRule="auto"/>
        <w:rPr>
          <w:rFonts w:ascii="Times New Roman" w:hAnsi="Times New Roman" w:cs="Times New Roman"/>
          <w:sz w:val="24"/>
          <w:szCs w:val="24"/>
        </w:rPr>
      </w:pPr>
    </w:p>
    <w:sectPr w:rsidR="00ED0ABF" w:rsidRPr="00F144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A7" w:rsidRDefault="003506A7" w:rsidP="00DB1937">
      <w:pPr>
        <w:spacing w:after="0" w:line="240" w:lineRule="auto"/>
      </w:pPr>
      <w:r>
        <w:separator/>
      </w:r>
    </w:p>
  </w:endnote>
  <w:endnote w:type="continuationSeparator" w:id="0">
    <w:p w:rsidR="003506A7" w:rsidRDefault="003506A7" w:rsidP="00DB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A7" w:rsidRDefault="003506A7" w:rsidP="00DB1937">
      <w:pPr>
        <w:spacing w:after="0" w:line="240" w:lineRule="auto"/>
      </w:pPr>
      <w:r>
        <w:separator/>
      </w:r>
    </w:p>
  </w:footnote>
  <w:footnote w:type="continuationSeparator" w:id="0">
    <w:p w:rsidR="003506A7" w:rsidRDefault="003506A7" w:rsidP="00DB1937">
      <w:pPr>
        <w:spacing w:after="0" w:line="240" w:lineRule="auto"/>
      </w:pPr>
      <w:r>
        <w:continuationSeparator/>
      </w:r>
    </w:p>
  </w:footnote>
  <w:footnote w:id="1">
    <w:p w:rsidR="00B664D2" w:rsidRDefault="00B664D2">
      <w:pPr>
        <w:pStyle w:val="FootnoteText"/>
      </w:pPr>
      <w:r>
        <w:rPr>
          <w:rStyle w:val="FootnoteReference"/>
        </w:rPr>
        <w:footnoteRef/>
      </w:r>
      <w:r w:rsidR="00BF38E5" w:rsidRPr="00BF38E5">
        <w:t>(1939) 4 ALL ER 192 at 199 P.C.</w:t>
      </w:r>
      <w:r>
        <w:t xml:space="preserve"> </w:t>
      </w:r>
    </w:p>
  </w:footnote>
  <w:footnote w:id="2">
    <w:p w:rsidR="00B664D2" w:rsidRDefault="00B664D2">
      <w:pPr>
        <w:pStyle w:val="FootnoteText"/>
      </w:pPr>
      <w:r>
        <w:rPr>
          <w:rStyle w:val="FootnoteReference"/>
        </w:rPr>
        <w:footnoteRef/>
      </w:r>
      <w:r w:rsidR="00BF38E5" w:rsidRPr="00BF38E5">
        <w:t xml:space="preserve">(1881) 50 LJ </w:t>
      </w:r>
      <w:proofErr w:type="spellStart"/>
      <w:r w:rsidR="00BF38E5" w:rsidRPr="00BF38E5">
        <w:t>Ch</w:t>
      </w:r>
      <w:proofErr w:type="spellEnd"/>
      <w:r w:rsidR="00BF38E5" w:rsidRPr="00BF38E5">
        <w:t xml:space="preserve"> 456</w:t>
      </w:r>
      <w:r>
        <w:t xml:space="preserve"> </w:t>
      </w:r>
    </w:p>
  </w:footnote>
  <w:footnote w:id="3">
    <w:p w:rsidR="00B664D2" w:rsidRDefault="00B664D2">
      <w:pPr>
        <w:pStyle w:val="FootnoteText"/>
      </w:pPr>
      <w:r>
        <w:rPr>
          <w:rStyle w:val="FootnoteReference"/>
        </w:rPr>
        <w:footnoteRef/>
      </w:r>
      <w:r w:rsidR="00BF38E5" w:rsidRPr="00BF38E5">
        <w:t>(1961) ALL NLR 180 at 182</w:t>
      </w:r>
      <w:r>
        <w:t xml:space="preserve"> </w:t>
      </w:r>
    </w:p>
  </w:footnote>
  <w:footnote w:id="4">
    <w:p w:rsidR="00566A6B" w:rsidRDefault="00566A6B">
      <w:pPr>
        <w:pStyle w:val="FootnoteText"/>
      </w:pPr>
      <w:r>
        <w:rPr>
          <w:rStyle w:val="FootnoteReference"/>
        </w:rPr>
        <w:footnoteRef/>
      </w:r>
      <w:r>
        <w:t xml:space="preserve"> </w:t>
      </w:r>
      <w:r w:rsidR="00BF38E5" w:rsidRPr="00BF38E5">
        <w:t>(1816) 35 ER 851</w:t>
      </w:r>
    </w:p>
  </w:footnote>
  <w:footnote w:id="5">
    <w:p w:rsidR="00566A6B" w:rsidRDefault="00566A6B">
      <w:pPr>
        <w:pStyle w:val="FootnoteText"/>
      </w:pPr>
      <w:r>
        <w:rPr>
          <w:rStyle w:val="FootnoteReference"/>
        </w:rPr>
        <w:footnoteRef/>
      </w:r>
      <w:r w:rsidR="00BF38E5" w:rsidRPr="00BF38E5">
        <w:t xml:space="preserve">(1947) </w:t>
      </w:r>
      <w:proofErr w:type="spellStart"/>
      <w:r w:rsidR="00BF38E5" w:rsidRPr="00BF38E5">
        <w:t>Ch</w:t>
      </w:r>
      <w:proofErr w:type="spellEnd"/>
      <w:r w:rsidR="00BF38E5" w:rsidRPr="00BF38E5">
        <w:t xml:space="preserve"> 707 at </w:t>
      </w:r>
      <w:proofErr w:type="spellStart"/>
      <w:r w:rsidR="00BF38E5" w:rsidRPr="00BF38E5">
        <w:t>pg</w:t>
      </w:r>
      <w:proofErr w:type="spellEnd"/>
      <w:r w:rsidR="00BF38E5" w:rsidRPr="00BF38E5">
        <w:t xml:space="preserve"> 13</w:t>
      </w:r>
      <w:r>
        <w:t xml:space="preserve"> </w:t>
      </w:r>
    </w:p>
  </w:footnote>
  <w:footnote w:id="6">
    <w:p w:rsidR="00566A6B" w:rsidRDefault="00566A6B">
      <w:pPr>
        <w:pStyle w:val="FootnoteText"/>
      </w:pPr>
      <w:r>
        <w:rPr>
          <w:rStyle w:val="FootnoteReference"/>
        </w:rPr>
        <w:footnoteRef/>
      </w:r>
      <w:r>
        <w:t xml:space="preserve"> </w:t>
      </w:r>
      <w:r w:rsidR="00BF38E5">
        <w:t>MMA 2004</w:t>
      </w:r>
    </w:p>
  </w:footnote>
  <w:footnote w:id="7">
    <w:p w:rsidR="00566A6B" w:rsidRDefault="00566A6B">
      <w:pPr>
        <w:pStyle w:val="FootnoteText"/>
      </w:pPr>
      <w:r>
        <w:rPr>
          <w:rStyle w:val="FootnoteReference"/>
        </w:rPr>
        <w:footnoteRef/>
      </w:r>
      <w:r w:rsidR="00BF38E5" w:rsidRPr="00BF38E5">
        <w:t>(1842) 49 ET 749</w:t>
      </w:r>
      <w:r>
        <w:t xml:space="preserve"> </w:t>
      </w:r>
    </w:p>
  </w:footnote>
  <w:footnote w:id="8">
    <w:p w:rsidR="00566A6B" w:rsidRDefault="00566A6B">
      <w:pPr>
        <w:pStyle w:val="FootnoteText"/>
      </w:pPr>
      <w:r>
        <w:rPr>
          <w:rStyle w:val="FootnoteReference"/>
        </w:rPr>
        <w:footnoteRef/>
      </w:r>
      <w:r>
        <w:t xml:space="preserve"> </w:t>
      </w:r>
      <w:r w:rsidR="008F1494" w:rsidRPr="008F1494">
        <w:t>(1990) I WLR 491 HL</w:t>
      </w:r>
    </w:p>
  </w:footnote>
  <w:footnote w:id="9">
    <w:p w:rsidR="008A60ED" w:rsidRDefault="008A60ED">
      <w:pPr>
        <w:pStyle w:val="FootnoteText"/>
      </w:pPr>
      <w:r>
        <w:rPr>
          <w:rStyle w:val="FootnoteReference"/>
        </w:rPr>
        <w:footnoteRef/>
      </w:r>
      <w:r>
        <w:t xml:space="preserve"> </w:t>
      </w:r>
      <w:r w:rsidR="008F1494" w:rsidRPr="008F1494">
        <w:t>(1959) LLR 33</w:t>
      </w:r>
    </w:p>
  </w:footnote>
  <w:footnote w:id="10">
    <w:p w:rsidR="008A60ED" w:rsidRDefault="008A60ED">
      <w:pPr>
        <w:pStyle w:val="FootnoteText"/>
      </w:pPr>
      <w:r>
        <w:rPr>
          <w:rStyle w:val="FootnoteReference"/>
        </w:rPr>
        <w:footnoteRef/>
      </w:r>
      <w:r w:rsidR="008F1494" w:rsidRPr="008F1494">
        <w:t>(1964) I WLR 466 PC</w:t>
      </w:r>
      <w:r>
        <w:t xml:space="preserve"> </w:t>
      </w:r>
    </w:p>
  </w:footnote>
  <w:footnote w:id="11">
    <w:p w:rsidR="008A60ED" w:rsidRDefault="008A60ED">
      <w:pPr>
        <w:pStyle w:val="FootnoteText"/>
      </w:pPr>
      <w:r>
        <w:rPr>
          <w:rStyle w:val="FootnoteReference"/>
        </w:rPr>
        <w:footnoteRef/>
      </w:r>
      <w:r w:rsidR="008F1494" w:rsidRPr="008F1494">
        <w:t>(1958) RPC 94 CA</w:t>
      </w:r>
      <w:r>
        <w:t xml:space="preserve"> </w:t>
      </w:r>
      <w:bookmarkStart w:id="0" w:name="_GoBack"/>
      <w:bookmarkEnd w:id="0"/>
    </w:p>
  </w:footnote>
  <w:footnote w:id="12">
    <w:p w:rsidR="008A60ED" w:rsidRDefault="008A60ED">
      <w:pPr>
        <w:pStyle w:val="FootnoteText"/>
      </w:pPr>
      <w:r>
        <w:rPr>
          <w:rStyle w:val="FootnoteReference"/>
        </w:rPr>
        <w:footnoteRef/>
      </w:r>
      <w:r w:rsidR="008F1494" w:rsidRPr="008F1494">
        <w:t>(1924) 40 TLR 606</w:t>
      </w:r>
      <w:r>
        <w:t xml:space="preserve"> </w:t>
      </w:r>
    </w:p>
  </w:footnote>
  <w:footnote w:id="13">
    <w:p w:rsidR="008A60ED" w:rsidRDefault="008A60ED">
      <w:pPr>
        <w:pStyle w:val="FootnoteText"/>
      </w:pPr>
      <w:r>
        <w:rPr>
          <w:rStyle w:val="FootnoteReference"/>
        </w:rPr>
        <w:footnoteRef/>
      </w:r>
      <w:r>
        <w:t xml:space="preserve"> </w:t>
      </w:r>
      <w:r w:rsidR="008F1494" w:rsidRPr="008F1494">
        <w:t>(1933) 50 RPC 232</w:t>
      </w:r>
    </w:p>
  </w:footnote>
  <w:footnote w:id="14">
    <w:p w:rsidR="008F1494" w:rsidRDefault="008A60ED">
      <w:pPr>
        <w:pStyle w:val="FootnoteText"/>
      </w:pPr>
      <w:r>
        <w:rPr>
          <w:rStyle w:val="FootnoteReference"/>
        </w:rPr>
        <w:footnoteRef/>
      </w:r>
      <w:r>
        <w:t xml:space="preserve"> </w:t>
      </w:r>
      <w:proofErr w:type="spellStart"/>
      <w:r w:rsidR="008F1494">
        <w:t>Salmond</w:t>
      </w:r>
      <w:proofErr w:type="spellEnd"/>
      <w:r w:rsidR="008F1494">
        <w:t xml:space="preserve"> op cit. para 149</w:t>
      </w:r>
    </w:p>
  </w:footnote>
  <w:footnote w:id="15">
    <w:p w:rsidR="008A60ED" w:rsidRDefault="008A60ED">
      <w:pPr>
        <w:pStyle w:val="FootnoteText"/>
      </w:pPr>
      <w:r>
        <w:rPr>
          <w:rStyle w:val="FootnoteReference"/>
        </w:rPr>
        <w:footnoteRef/>
      </w:r>
      <w:r>
        <w:t xml:space="preserve"> </w:t>
      </w:r>
      <w:r w:rsidR="007B5A45">
        <w:t>(</w:t>
      </w:r>
      <w:r w:rsidR="007B5A45" w:rsidRPr="007B5A45">
        <w:t xml:space="preserve">1865) 11 HL </w:t>
      </w:r>
      <w:proofErr w:type="spellStart"/>
      <w:r w:rsidR="007B5A45" w:rsidRPr="007B5A45">
        <w:t>Cas</w:t>
      </w:r>
      <w:proofErr w:type="spellEnd"/>
      <w:r w:rsidR="007B5A45" w:rsidRPr="007B5A45">
        <w:t xml:space="preserve"> 523 at 538</w:t>
      </w:r>
      <w:r w:rsidR="007B5A45">
        <w:t>; (1865) 11ER 1435</w:t>
      </w:r>
    </w:p>
    <w:p w:rsidR="00D61022" w:rsidRDefault="00D61022">
      <w:pPr>
        <w:pStyle w:val="FootnoteText"/>
      </w:pPr>
    </w:p>
    <w:p w:rsidR="00D61022" w:rsidRPr="00D61022" w:rsidRDefault="00D61022">
      <w:pPr>
        <w:pStyle w:val="FootnoteText"/>
        <w:rPr>
          <w:b/>
        </w:rPr>
      </w:pPr>
      <w:r w:rsidRPr="00D61022">
        <w:rPr>
          <w:b/>
        </w:rPr>
        <w:t>BIBLOGRAPHY</w:t>
      </w:r>
    </w:p>
    <w:p w:rsidR="00D61022" w:rsidRDefault="00D61022">
      <w:pPr>
        <w:pStyle w:val="FootnoteText"/>
      </w:pPr>
      <w:r>
        <w:t xml:space="preserve">T &amp; A Legal. “An Appraisal Of Passing Off Actions Under Nigerian </w:t>
      </w:r>
      <w:r w:rsidRPr="00D61022">
        <w:t>Law</w:t>
      </w:r>
      <w:r>
        <w:t xml:space="preserve">.” </w:t>
      </w:r>
      <w:r w:rsidRPr="009B6823">
        <w:rPr>
          <w:i/>
        </w:rPr>
        <w:t>Intellectual property law</w:t>
      </w:r>
      <w:r>
        <w:t>, Nigeria: APA, 2018.</w:t>
      </w:r>
    </w:p>
    <w:p w:rsidR="00D61022" w:rsidRDefault="00D61022">
      <w:pPr>
        <w:pStyle w:val="FootnoteText"/>
      </w:pPr>
      <w:proofErr w:type="spellStart"/>
      <w:r>
        <w:t>Ese</w:t>
      </w:r>
      <w:proofErr w:type="spellEnd"/>
      <w:r>
        <w:t xml:space="preserve"> </w:t>
      </w:r>
      <w:proofErr w:type="spellStart"/>
      <w:r>
        <w:t>Malemi</w:t>
      </w:r>
      <w:proofErr w:type="spellEnd"/>
      <w:r>
        <w:t xml:space="preserve">. “Passing off.” </w:t>
      </w:r>
      <w:r w:rsidR="00023071" w:rsidRPr="009B6823">
        <w:rPr>
          <w:i/>
        </w:rPr>
        <w:t>Law of tort</w:t>
      </w:r>
      <w:r w:rsidR="009B6823" w:rsidRPr="009B6823">
        <w:rPr>
          <w:i/>
        </w:rPr>
        <w:t xml:space="preserve"> in Nigeria</w:t>
      </w:r>
      <w:r w:rsidR="00023071">
        <w:t xml:space="preserve">, 631-644, </w:t>
      </w:r>
      <w:r w:rsidR="009B6823">
        <w:t>England: APA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37"/>
    <w:rsid w:val="000143D7"/>
    <w:rsid w:val="00023071"/>
    <w:rsid w:val="00297055"/>
    <w:rsid w:val="002D68C7"/>
    <w:rsid w:val="00310B43"/>
    <w:rsid w:val="003506A7"/>
    <w:rsid w:val="003D4CDA"/>
    <w:rsid w:val="00532D9C"/>
    <w:rsid w:val="00566A6B"/>
    <w:rsid w:val="005C1EA7"/>
    <w:rsid w:val="00660C5C"/>
    <w:rsid w:val="006E0FF7"/>
    <w:rsid w:val="007B5A45"/>
    <w:rsid w:val="008A60ED"/>
    <w:rsid w:val="008C63FA"/>
    <w:rsid w:val="008F1494"/>
    <w:rsid w:val="00956831"/>
    <w:rsid w:val="009772E0"/>
    <w:rsid w:val="009B6823"/>
    <w:rsid w:val="00B664D2"/>
    <w:rsid w:val="00BF38E5"/>
    <w:rsid w:val="00C86DB7"/>
    <w:rsid w:val="00D61022"/>
    <w:rsid w:val="00DB1937"/>
    <w:rsid w:val="00E87746"/>
    <w:rsid w:val="00ED0ABF"/>
    <w:rsid w:val="00F020A2"/>
    <w:rsid w:val="00F1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A675D-E0AF-4CE1-803D-CED1881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1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937"/>
    <w:rPr>
      <w:sz w:val="20"/>
      <w:szCs w:val="20"/>
    </w:rPr>
  </w:style>
  <w:style w:type="character" w:styleId="FootnoteReference">
    <w:name w:val="footnote reference"/>
    <w:basedOn w:val="DefaultParagraphFont"/>
    <w:uiPriority w:val="99"/>
    <w:semiHidden/>
    <w:unhideWhenUsed/>
    <w:rsid w:val="00DB1937"/>
    <w:rPr>
      <w:vertAlign w:val="superscript"/>
    </w:rPr>
  </w:style>
  <w:style w:type="character" w:styleId="SubtleEmphasis">
    <w:name w:val="Subtle Emphasis"/>
    <w:basedOn w:val="DefaultParagraphFont"/>
    <w:uiPriority w:val="19"/>
    <w:qFormat/>
    <w:rsid w:val="006E0FF7"/>
    <w:rPr>
      <w:i/>
      <w:iCs/>
      <w:color w:val="404040" w:themeColor="text1" w:themeTint="BF"/>
    </w:rPr>
  </w:style>
  <w:style w:type="paragraph" w:styleId="EndnoteText">
    <w:name w:val="endnote text"/>
    <w:basedOn w:val="Normal"/>
    <w:link w:val="EndnoteTextChar"/>
    <w:uiPriority w:val="99"/>
    <w:semiHidden/>
    <w:unhideWhenUsed/>
    <w:rsid w:val="00B664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64D2"/>
    <w:rPr>
      <w:sz w:val="20"/>
      <w:szCs w:val="20"/>
    </w:rPr>
  </w:style>
  <w:style w:type="character" w:styleId="EndnoteReference">
    <w:name w:val="endnote reference"/>
    <w:basedOn w:val="DefaultParagraphFont"/>
    <w:uiPriority w:val="99"/>
    <w:semiHidden/>
    <w:unhideWhenUsed/>
    <w:rsid w:val="00B66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D704-458D-4383-BC60-690E52B9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2020-05-01T12:57:00Z</dcterms:created>
  <dcterms:modified xsi:type="dcterms:W3CDTF">2020-05-05T20:01:00Z</dcterms:modified>
</cp:coreProperties>
</file>