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6F7AFB" w:rsidRDefault="00AB4D39">
      <w:pPr>
        <w:rPr>
          <w:rFonts w:cstheme="minorHAnsi"/>
          <w:b/>
          <w:sz w:val="32"/>
          <w:szCs w:val="32"/>
        </w:rPr>
      </w:pPr>
      <w:r w:rsidRPr="006F7AFB">
        <w:rPr>
          <w:rFonts w:cstheme="minorHAnsi"/>
          <w:b/>
          <w:sz w:val="32"/>
          <w:szCs w:val="32"/>
        </w:rPr>
        <w:t>17/MHS01/204</w:t>
      </w:r>
    </w:p>
    <w:p w:rsidR="00AB4D39" w:rsidRPr="006F7AFB" w:rsidRDefault="00AB4D39">
      <w:pPr>
        <w:rPr>
          <w:rFonts w:cstheme="minorHAnsi"/>
          <w:sz w:val="32"/>
          <w:szCs w:val="32"/>
        </w:rPr>
      </w:pPr>
    </w:p>
    <w:p w:rsidR="00AB4D39" w:rsidRPr="006F7AFB" w:rsidRDefault="00AB4D39">
      <w:pPr>
        <w:rPr>
          <w:rFonts w:cstheme="minorHAnsi"/>
          <w:i/>
          <w:sz w:val="32"/>
          <w:szCs w:val="32"/>
        </w:rPr>
      </w:pPr>
      <w:r w:rsidRPr="006F7AFB">
        <w:rPr>
          <w:rFonts w:cstheme="minorHAnsi"/>
          <w:i/>
          <w:sz w:val="32"/>
          <w:szCs w:val="32"/>
        </w:rPr>
        <w:t>Discuss in details the factors affecting drug metabolism.</w:t>
      </w:r>
    </w:p>
    <w:p w:rsidR="00AB4D39" w:rsidRPr="006F7AFB" w:rsidRDefault="00AB4D39" w:rsidP="00AB4D39">
      <w:pPr>
        <w:pStyle w:val="ListParagraph"/>
        <w:numPr>
          <w:ilvl w:val="0"/>
          <w:numId w:val="1"/>
        </w:numPr>
        <w:rPr>
          <w:rFonts w:cstheme="minorHAnsi"/>
          <w:sz w:val="32"/>
          <w:szCs w:val="32"/>
        </w:rPr>
      </w:pPr>
      <w:r w:rsidRPr="006F7AFB">
        <w:rPr>
          <w:rFonts w:cstheme="minorHAnsi"/>
          <w:sz w:val="32"/>
          <w:szCs w:val="32"/>
        </w:rPr>
        <w:t>Internal factors; species, hormones, age, genetics, sex, diseases</w:t>
      </w:r>
      <w:r w:rsidR="00FF7EF5" w:rsidRPr="006F7AFB">
        <w:rPr>
          <w:rFonts w:cstheme="minorHAnsi"/>
          <w:sz w:val="32"/>
          <w:szCs w:val="32"/>
        </w:rPr>
        <w:t>.</w:t>
      </w:r>
    </w:p>
    <w:p w:rsidR="00FF7EF5" w:rsidRPr="006F7AFB" w:rsidRDefault="00FF7EF5" w:rsidP="00AB4D39">
      <w:pPr>
        <w:pStyle w:val="ListParagraph"/>
        <w:numPr>
          <w:ilvl w:val="0"/>
          <w:numId w:val="1"/>
        </w:numPr>
        <w:rPr>
          <w:rFonts w:cstheme="minorHAnsi"/>
          <w:sz w:val="32"/>
          <w:szCs w:val="32"/>
        </w:rPr>
      </w:pPr>
      <w:r w:rsidRPr="006F7AFB">
        <w:rPr>
          <w:rFonts w:cstheme="minorHAnsi"/>
          <w:sz w:val="32"/>
          <w:szCs w:val="32"/>
        </w:rPr>
        <w:t>External factors; diets ad environment</w:t>
      </w:r>
    </w:p>
    <w:p w:rsidR="00FF7EF5" w:rsidRPr="006F7AFB" w:rsidRDefault="00FF7EF5" w:rsidP="00FF7EF5">
      <w:pPr>
        <w:pStyle w:val="ListParagraph"/>
        <w:rPr>
          <w:rFonts w:cstheme="minorHAnsi"/>
          <w:sz w:val="32"/>
          <w:szCs w:val="32"/>
        </w:rPr>
      </w:pPr>
    </w:p>
    <w:p w:rsidR="00FF7EF5" w:rsidRPr="006F7AFB" w:rsidRDefault="00FF7EF5" w:rsidP="00FF7EF5">
      <w:pPr>
        <w:pStyle w:val="ListParagraph"/>
        <w:rPr>
          <w:rFonts w:cstheme="minorHAnsi"/>
          <w:b/>
          <w:sz w:val="32"/>
          <w:szCs w:val="32"/>
        </w:rPr>
      </w:pPr>
      <w:r w:rsidRPr="006F7AFB">
        <w:rPr>
          <w:rFonts w:cstheme="minorHAnsi"/>
          <w:b/>
          <w:sz w:val="32"/>
          <w:szCs w:val="32"/>
        </w:rPr>
        <w:t>HEXOBABITONE METABOLISM</w:t>
      </w:r>
    </w:p>
    <w:tbl>
      <w:tblPr>
        <w:tblStyle w:val="TableGrid"/>
        <w:tblW w:w="0" w:type="auto"/>
        <w:tblInd w:w="720" w:type="dxa"/>
        <w:tblLook w:val="04A0"/>
      </w:tblPr>
      <w:tblGrid>
        <w:gridCol w:w="2059"/>
        <w:gridCol w:w="2159"/>
        <w:gridCol w:w="2319"/>
        <w:gridCol w:w="2319"/>
      </w:tblGrid>
      <w:tr w:rsidR="00BB75E1" w:rsidRPr="006F7AFB" w:rsidTr="00FF7EF5">
        <w:tc>
          <w:tcPr>
            <w:tcW w:w="2394" w:type="dxa"/>
          </w:tcPr>
          <w:p w:rsidR="00FF7EF5" w:rsidRPr="006F7AFB" w:rsidRDefault="00FF7EF5" w:rsidP="00FF7EF5">
            <w:pPr>
              <w:pStyle w:val="ListParagraph"/>
              <w:ind w:left="0"/>
              <w:rPr>
                <w:rFonts w:cstheme="minorHAnsi"/>
                <w:sz w:val="32"/>
                <w:szCs w:val="32"/>
              </w:rPr>
            </w:pPr>
            <w:r w:rsidRPr="006F7AFB">
              <w:rPr>
                <w:rFonts w:cstheme="minorHAnsi"/>
                <w:sz w:val="32"/>
                <w:szCs w:val="32"/>
              </w:rPr>
              <w:t>spp</w:t>
            </w:r>
          </w:p>
        </w:tc>
        <w:tc>
          <w:tcPr>
            <w:tcW w:w="2394" w:type="dxa"/>
          </w:tcPr>
          <w:p w:rsidR="00FF7EF5" w:rsidRPr="006F7AFB" w:rsidRDefault="00FF7EF5" w:rsidP="00FF7EF5">
            <w:pPr>
              <w:pStyle w:val="ListParagraph"/>
              <w:ind w:left="0"/>
              <w:rPr>
                <w:rFonts w:cstheme="minorHAnsi"/>
                <w:sz w:val="32"/>
                <w:szCs w:val="32"/>
              </w:rPr>
            </w:pPr>
            <w:r w:rsidRPr="006F7AFB">
              <w:rPr>
                <w:rFonts w:cstheme="minorHAnsi"/>
                <w:sz w:val="32"/>
                <w:szCs w:val="32"/>
              </w:rPr>
              <w:t>Sleeping time</w:t>
            </w:r>
          </w:p>
        </w:tc>
        <w:tc>
          <w:tcPr>
            <w:tcW w:w="2394" w:type="dxa"/>
          </w:tcPr>
          <w:p w:rsidR="00FF7EF5" w:rsidRPr="006F7AFB" w:rsidRDefault="00FF7EF5" w:rsidP="00FF7EF5">
            <w:pPr>
              <w:pStyle w:val="ListParagraph"/>
              <w:ind w:left="0"/>
              <w:rPr>
                <w:rFonts w:cstheme="minorHAnsi"/>
                <w:sz w:val="32"/>
                <w:szCs w:val="32"/>
              </w:rPr>
            </w:pPr>
            <w:r w:rsidRPr="006F7AFB">
              <w:rPr>
                <w:rFonts w:cstheme="minorHAnsi"/>
                <w:sz w:val="32"/>
                <w:szCs w:val="32"/>
              </w:rPr>
              <w:t>Hexobabitone ½ life</w:t>
            </w:r>
          </w:p>
        </w:tc>
        <w:tc>
          <w:tcPr>
            <w:tcW w:w="2394" w:type="dxa"/>
          </w:tcPr>
          <w:p w:rsidR="00FF7EF5" w:rsidRPr="006F7AFB" w:rsidRDefault="00FF7EF5" w:rsidP="00FF7EF5">
            <w:pPr>
              <w:pStyle w:val="ListParagraph"/>
              <w:ind w:left="0"/>
              <w:rPr>
                <w:rFonts w:cstheme="minorHAnsi"/>
                <w:sz w:val="32"/>
                <w:szCs w:val="32"/>
              </w:rPr>
            </w:pPr>
            <w:r w:rsidRPr="006F7AFB">
              <w:rPr>
                <w:rFonts w:cstheme="minorHAnsi"/>
                <w:sz w:val="32"/>
                <w:szCs w:val="32"/>
              </w:rPr>
              <w:t>Hexobabitone metabolism</w:t>
            </w:r>
          </w:p>
        </w:tc>
      </w:tr>
      <w:tr w:rsidR="00BB75E1" w:rsidRPr="006F7AFB" w:rsidTr="00FF7EF5">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Mice</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12 +/- 8</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19+/-</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16.6</w:t>
            </w:r>
          </w:p>
        </w:tc>
      </w:tr>
      <w:tr w:rsidR="00BB75E1" w:rsidRPr="006F7AFB" w:rsidTr="00FF7EF5">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Rat</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90+/- 15</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140 +/- 4</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3.71</w:t>
            </w:r>
          </w:p>
        </w:tc>
      </w:tr>
      <w:tr w:rsidR="00BB75E1" w:rsidRPr="006F7AFB" w:rsidTr="00FF7EF5">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Dog</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315+/- 105</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260+/- 20</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1</w:t>
            </w:r>
          </w:p>
        </w:tc>
      </w:tr>
      <w:tr w:rsidR="00BB75E1" w:rsidRPr="006F7AFB" w:rsidTr="00FF7EF5">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man</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Keeps sleeping</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Approx 360</w:t>
            </w:r>
          </w:p>
        </w:tc>
        <w:tc>
          <w:tcPr>
            <w:tcW w:w="2394" w:type="dxa"/>
          </w:tcPr>
          <w:p w:rsidR="00FF7EF5" w:rsidRPr="006F7AFB" w:rsidRDefault="00BB75E1" w:rsidP="00FF7EF5">
            <w:pPr>
              <w:pStyle w:val="ListParagraph"/>
              <w:ind w:left="0"/>
              <w:rPr>
                <w:rFonts w:cstheme="minorHAnsi"/>
                <w:sz w:val="32"/>
                <w:szCs w:val="32"/>
              </w:rPr>
            </w:pPr>
            <w:r w:rsidRPr="006F7AFB">
              <w:rPr>
                <w:rFonts w:cstheme="minorHAnsi"/>
                <w:sz w:val="32"/>
                <w:szCs w:val="32"/>
              </w:rPr>
              <w:t>?</w:t>
            </w:r>
          </w:p>
        </w:tc>
      </w:tr>
    </w:tbl>
    <w:p w:rsidR="00FF7EF5" w:rsidRPr="006F7AFB" w:rsidRDefault="00FF7EF5" w:rsidP="00FF7EF5">
      <w:pPr>
        <w:pStyle w:val="ListParagraph"/>
        <w:rPr>
          <w:rFonts w:cstheme="minorHAnsi"/>
          <w:sz w:val="32"/>
          <w:szCs w:val="32"/>
        </w:rPr>
      </w:pPr>
    </w:p>
    <w:p w:rsidR="00BB75E1" w:rsidRPr="006F7AFB" w:rsidRDefault="00BB75E1" w:rsidP="00FF7EF5">
      <w:pPr>
        <w:pStyle w:val="ListParagraph"/>
        <w:rPr>
          <w:rFonts w:cstheme="minorHAnsi"/>
          <w:sz w:val="32"/>
          <w:szCs w:val="32"/>
        </w:rPr>
      </w:pPr>
      <w:r w:rsidRPr="006F7AFB">
        <w:rPr>
          <w:rFonts w:cstheme="minorHAnsi"/>
          <w:b/>
          <w:sz w:val="32"/>
          <w:szCs w:val="32"/>
        </w:rPr>
        <w:t>Genetic factor:</w:t>
      </w:r>
      <w:r w:rsidRPr="006F7AFB">
        <w:rPr>
          <w:rFonts w:cstheme="minorHAnsi"/>
          <w:sz w:val="32"/>
          <w:szCs w:val="32"/>
        </w:rPr>
        <w:t xml:space="preserve"> even siblings related by blood metabolize drugs differently.</w:t>
      </w:r>
      <w:r w:rsidR="00CC1CBD" w:rsidRPr="006F7AFB">
        <w:rPr>
          <w:rFonts w:cstheme="minorHAnsi"/>
          <w:sz w:val="32"/>
          <w:szCs w:val="32"/>
          <w:shd w:val="clear" w:color="auto" w:fill="FFFFFF"/>
        </w:rPr>
        <w:t xml:space="preserve"> Although patient response to drugs varies widely and the reasons for this are diverse and complex, experts estimate that genetic factors account for 20 to 95 percent of patient variability in response to individual drugs.  Genetic influences on drug metabolism interact with other intrinsic (i.e., physiologic) and extrinsic (i.e., cultural, behavioral, and environmental) characteristics of a person to determine the outcome from treatment with any pharmacologic agent. </w:t>
      </w:r>
    </w:p>
    <w:p w:rsidR="00BB75E1" w:rsidRPr="006F7AFB" w:rsidRDefault="00BB75E1" w:rsidP="00FF7EF5">
      <w:pPr>
        <w:pStyle w:val="ListParagraph"/>
        <w:rPr>
          <w:rFonts w:cstheme="minorHAnsi"/>
          <w:sz w:val="32"/>
          <w:szCs w:val="32"/>
        </w:rPr>
      </w:pPr>
      <w:r w:rsidRPr="006F7AFB">
        <w:rPr>
          <w:rFonts w:cstheme="minorHAnsi"/>
          <w:b/>
          <w:sz w:val="32"/>
          <w:szCs w:val="32"/>
        </w:rPr>
        <w:t>Age:</w:t>
      </w:r>
      <w:r w:rsidRPr="006F7AFB">
        <w:rPr>
          <w:rFonts w:cstheme="minorHAnsi"/>
          <w:sz w:val="32"/>
          <w:szCs w:val="32"/>
        </w:rPr>
        <w:t xml:space="preserve"> </w:t>
      </w:r>
      <w:r w:rsidR="00CC1CBD" w:rsidRPr="006F7AFB">
        <w:rPr>
          <w:rFonts w:cstheme="minorHAnsi"/>
          <w:sz w:val="32"/>
          <w:szCs w:val="32"/>
          <w:shd w:val="clear" w:color="auto" w:fill="FFFFFF"/>
        </w:rPr>
        <w:t> Aging clearly affects metabolism.</w:t>
      </w:r>
      <w:r w:rsidR="001D68EB" w:rsidRPr="006F7AFB">
        <w:rPr>
          <w:rFonts w:cstheme="minorHAnsi"/>
          <w:sz w:val="32"/>
          <w:szCs w:val="32"/>
          <w:shd w:val="clear" w:color="auto" w:fill="EEEEEE"/>
        </w:rPr>
        <w:t xml:space="preserve"> In neonates (</w:t>
      </w:r>
      <w:r w:rsidR="006F7AFB" w:rsidRPr="006F7AFB">
        <w:rPr>
          <w:rFonts w:cstheme="minorHAnsi"/>
          <w:sz w:val="32"/>
          <w:szCs w:val="32"/>
          <w:shd w:val="clear" w:color="auto" w:fill="EEEEEE"/>
        </w:rPr>
        <w:t>up to</w:t>
      </w:r>
      <w:r w:rsidR="001D68EB" w:rsidRPr="006F7AFB">
        <w:rPr>
          <w:rFonts w:cstheme="minorHAnsi"/>
          <w:sz w:val="32"/>
          <w:szCs w:val="32"/>
          <w:shd w:val="clear" w:color="auto" w:fill="EEEEEE"/>
        </w:rPr>
        <w:t xml:space="preserve"> 2 months) and in infants (2 months to 1 year), the microsomal enzyme system is not fully developed. So, many drugs are metabolized slowly. For </w:t>
      </w:r>
      <w:r w:rsidR="006F7AFB" w:rsidRPr="006F7AFB">
        <w:rPr>
          <w:rFonts w:cstheme="minorHAnsi"/>
          <w:sz w:val="32"/>
          <w:szCs w:val="32"/>
          <w:shd w:val="clear" w:color="auto" w:fill="EEEEEE"/>
        </w:rPr>
        <w:t>e.g.</w:t>
      </w:r>
      <w:r w:rsidR="001D68EB" w:rsidRPr="006F7AFB">
        <w:rPr>
          <w:rFonts w:cstheme="minorHAnsi"/>
          <w:sz w:val="32"/>
          <w:szCs w:val="32"/>
          <w:shd w:val="clear" w:color="auto" w:fill="EEEEEE"/>
        </w:rPr>
        <w:t xml:space="preserve">: caffeine has a half-life of 4 days in neonates in </w:t>
      </w:r>
      <w:r w:rsidR="006F7AFB" w:rsidRPr="006F7AFB">
        <w:rPr>
          <w:rFonts w:cstheme="minorHAnsi"/>
          <w:sz w:val="32"/>
          <w:szCs w:val="32"/>
          <w:shd w:val="clear" w:color="auto" w:fill="EEEEEE"/>
        </w:rPr>
        <w:t>comparison</w:t>
      </w:r>
      <w:r w:rsidR="001D68EB" w:rsidRPr="006F7AFB">
        <w:rPr>
          <w:rFonts w:cstheme="minorHAnsi"/>
          <w:sz w:val="32"/>
          <w:szCs w:val="32"/>
          <w:shd w:val="clear" w:color="auto" w:fill="EEEEEE"/>
        </w:rPr>
        <w:t xml:space="preserve"> to 4 hrs in </w:t>
      </w:r>
      <w:r w:rsidR="006F7AFB" w:rsidRPr="006F7AFB">
        <w:rPr>
          <w:rFonts w:cstheme="minorHAnsi"/>
          <w:sz w:val="32"/>
          <w:szCs w:val="32"/>
          <w:shd w:val="clear" w:color="auto" w:fill="EEEEEE"/>
        </w:rPr>
        <w:t>adults. The</w:t>
      </w:r>
      <w:r w:rsidR="001D68EB" w:rsidRPr="006F7AFB">
        <w:rPr>
          <w:rFonts w:cstheme="minorHAnsi"/>
          <w:sz w:val="32"/>
          <w:szCs w:val="32"/>
          <w:shd w:val="clear" w:color="auto" w:fill="EEEEEE"/>
        </w:rPr>
        <w:t xml:space="preserve"> drug metabolic </w:t>
      </w:r>
      <w:r w:rsidR="001D68EB" w:rsidRPr="006F7AFB">
        <w:rPr>
          <w:rFonts w:cstheme="minorHAnsi"/>
          <w:sz w:val="32"/>
          <w:szCs w:val="32"/>
          <w:shd w:val="clear" w:color="auto" w:fill="EEEEEE"/>
        </w:rPr>
        <w:lastRenderedPageBreak/>
        <w:t xml:space="preserve">rate in the different age groups differs mainly due to variations in the enzyme content, enzyme activity and </w:t>
      </w:r>
      <w:r w:rsidR="006F7AFB" w:rsidRPr="006F7AFB">
        <w:rPr>
          <w:rFonts w:cstheme="minorHAnsi"/>
          <w:sz w:val="32"/>
          <w:szCs w:val="32"/>
          <w:shd w:val="clear" w:color="auto" w:fill="EEEEEE"/>
        </w:rPr>
        <w:t>hemodynamic</w:t>
      </w:r>
      <w:r w:rsidR="001D68EB" w:rsidRPr="006F7AFB">
        <w:rPr>
          <w:rFonts w:cstheme="minorHAnsi"/>
          <w:sz w:val="32"/>
          <w:szCs w:val="32"/>
          <w:shd w:val="clear" w:color="auto" w:fill="EEEEEE"/>
        </w:rPr>
        <w:t xml:space="preserve">. &amp; </w:t>
      </w:r>
      <w:proofErr w:type="gramStart"/>
      <w:r w:rsidR="001D68EB" w:rsidRPr="006F7AFB">
        <w:rPr>
          <w:rFonts w:cstheme="minorHAnsi"/>
          <w:sz w:val="32"/>
          <w:szCs w:val="32"/>
          <w:shd w:val="clear" w:color="auto" w:fill="EEEEEE"/>
        </w:rPr>
        <w:t>In</w:t>
      </w:r>
      <w:proofErr w:type="gramEnd"/>
      <w:r w:rsidR="001D68EB" w:rsidRPr="006F7AFB">
        <w:rPr>
          <w:rFonts w:cstheme="minorHAnsi"/>
          <w:sz w:val="32"/>
          <w:szCs w:val="32"/>
          <w:shd w:val="clear" w:color="auto" w:fill="EEEEEE"/>
        </w:rPr>
        <w:t xml:space="preserve">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 Children (between 1 year and 12 years) metabolize several drugs much more rapidly than adults as the rate of metabolism reaches a maximum somewhere between 6 months and 12 years. As a result they require large mg/kg dose in comparison to adults. </w:t>
      </w:r>
      <w:r w:rsidR="00CC1CBD" w:rsidRPr="006F7AFB">
        <w:rPr>
          <w:rFonts w:cstheme="minorHAnsi"/>
          <w:sz w:val="32"/>
          <w:szCs w:val="32"/>
        </w:rPr>
        <w:t xml:space="preserve">. </w:t>
      </w:r>
    </w:p>
    <w:p w:rsidR="006F7AFB" w:rsidRPr="006F7AFB" w:rsidRDefault="00BB75E1" w:rsidP="00FF7EF5">
      <w:pPr>
        <w:pStyle w:val="ListParagraph"/>
        <w:rPr>
          <w:rFonts w:cstheme="minorHAnsi"/>
          <w:sz w:val="32"/>
          <w:szCs w:val="32"/>
        </w:rPr>
      </w:pPr>
      <w:r w:rsidRPr="006F7AFB">
        <w:rPr>
          <w:rFonts w:cstheme="minorHAnsi"/>
          <w:b/>
          <w:sz w:val="32"/>
          <w:szCs w:val="32"/>
        </w:rPr>
        <w:t>Sex (gender):</w:t>
      </w:r>
      <w:r w:rsidRPr="006F7AFB">
        <w:rPr>
          <w:rFonts w:cstheme="minorHAnsi"/>
          <w:sz w:val="32"/>
          <w:szCs w:val="32"/>
        </w:rPr>
        <w:t xml:space="preserve"> in 1932, Nicolas discovered that ½ of the Hexobabitone required </w:t>
      </w:r>
      <w:r w:rsidR="00CC1CBD" w:rsidRPr="006F7AFB">
        <w:rPr>
          <w:rFonts w:cstheme="minorHAnsi"/>
          <w:sz w:val="32"/>
          <w:szCs w:val="32"/>
        </w:rPr>
        <w:t>making</w:t>
      </w:r>
      <w:r w:rsidRPr="006F7AFB">
        <w:rPr>
          <w:rFonts w:cstheme="minorHAnsi"/>
          <w:sz w:val="32"/>
          <w:szCs w:val="32"/>
        </w:rPr>
        <w:t xml:space="preserve"> </w:t>
      </w:r>
      <w:r w:rsidR="00CC1CBD" w:rsidRPr="006F7AFB">
        <w:rPr>
          <w:rFonts w:cstheme="minorHAnsi"/>
          <w:sz w:val="32"/>
          <w:szCs w:val="32"/>
        </w:rPr>
        <w:t>a male mice s</w:t>
      </w:r>
      <w:r w:rsidRPr="006F7AFB">
        <w:rPr>
          <w:rFonts w:cstheme="minorHAnsi"/>
          <w:sz w:val="32"/>
          <w:szCs w:val="32"/>
        </w:rPr>
        <w:t xml:space="preserve">leep is required to make </w:t>
      </w:r>
      <w:r w:rsidR="00CC1CBD" w:rsidRPr="006F7AFB">
        <w:rPr>
          <w:rFonts w:cstheme="minorHAnsi"/>
          <w:sz w:val="32"/>
          <w:szCs w:val="32"/>
        </w:rPr>
        <w:t>a female mouse</w:t>
      </w:r>
      <w:r w:rsidRPr="006F7AFB">
        <w:rPr>
          <w:rFonts w:cstheme="minorHAnsi"/>
          <w:sz w:val="32"/>
          <w:szCs w:val="32"/>
        </w:rPr>
        <w:t xml:space="preserve"> sleep</w:t>
      </w:r>
      <w:r w:rsidR="00DC2E35" w:rsidRPr="006F7AFB">
        <w:rPr>
          <w:rFonts w:cstheme="minorHAnsi"/>
          <w:sz w:val="32"/>
          <w:szCs w:val="32"/>
        </w:rPr>
        <w:t xml:space="preserve">. </w:t>
      </w:r>
      <w:r w:rsidR="00E55B8C" w:rsidRPr="006F7AFB">
        <w:rPr>
          <w:rFonts w:cstheme="minorHAnsi"/>
          <w:sz w:val="32"/>
          <w:szCs w:val="32"/>
          <w:shd w:val="clear" w:color="auto" w:fill="EEEEEE"/>
        </w:rPr>
        <w:t>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rsidR="00BB75E1" w:rsidRPr="006F7AFB" w:rsidRDefault="006F7AFB" w:rsidP="00FF7EF5">
      <w:pPr>
        <w:pStyle w:val="ListParagraph"/>
        <w:rPr>
          <w:rFonts w:cstheme="minorHAnsi"/>
          <w:sz w:val="32"/>
          <w:szCs w:val="32"/>
        </w:rPr>
      </w:pPr>
      <w:r w:rsidRPr="006F7AFB">
        <w:rPr>
          <w:rFonts w:cstheme="minorHAnsi"/>
          <w:b/>
          <w:sz w:val="32"/>
          <w:szCs w:val="32"/>
        </w:rPr>
        <w:t xml:space="preserve"> </w:t>
      </w:r>
      <w:r w:rsidR="00BB75E1" w:rsidRPr="006F7AFB">
        <w:rPr>
          <w:rFonts w:cstheme="minorHAnsi"/>
          <w:b/>
          <w:sz w:val="32"/>
          <w:szCs w:val="32"/>
        </w:rPr>
        <w:t>Disease:</w:t>
      </w:r>
      <w:r w:rsidR="00BB75E1" w:rsidRPr="006F7AFB">
        <w:rPr>
          <w:rFonts w:cstheme="minorHAnsi"/>
          <w:sz w:val="32"/>
          <w:szCs w:val="32"/>
        </w:rPr>
        <w:t xml:space="preserve"> it can lead to decrease in drug metabolism.</w:t>
      </w:r>
      <w:r w:rsidR="00B17E41" w:rsidRPr="006F7AFB">
        <w:rPr>
          <w:rFonts w:cstheme="minorHAnsi"/>
          <w:sz w:val="32"/>
          <w:szCs w:val="32"/>
          <w:shd w:val="clear" w:color="auto" w:fill="FFFFFF"/>
        </w:rPr>
        <w:t xml:space="preserve"> Though drug metabolism is an essential process required to sustain life, there are certain conditions in which an increase in the activation of drug metabolizing cytochrome (CYP) P450s can increase the potential for toxicity or intensify the symptoms of a disease.</w:t>
      </w:r>
    </w:p>
    <w:p w:rsidR="00BB75E1" w:rsidRPr="006F7AFB" w:rsidRDefault="00BB75E1" w:rsidP="00FF7EF5">
      <w:pPr>
        <w:pStyle w:val="ListParagraph"/>
        <w:rPr>
          <w:rFonts w:cstheme="minorHAnsi"/>
          <w:sz w:val="32"/>
          <w:szCs w:val="32"/>
        </w:rPr>
      </w:pPr>
      <w:r w:rsidRPr="006F7AFB">
        <w:rPr>
          <w:rFonts w:cstheme="minorHAnsi"/>
          <w:b/>
          <w:sz w:val="32"/>
          <w:szCs w:val="32"/>
        </w:rPr>
        <w:lastRenderedPageBreak/>
        <w:t>Hormones:</w:t>
      </w:r>
      <w:r w:rsidRPr="006F7AFB">
        <w:rPr>
          <w:rFonts w:cstheme="minorHAnsi"/>
          <w:sz w:val="32"/>
          <w:szCs w:val="32"/>
        </w:rPr>
        <w:t xml:space="preserve"> some hormones have effect on drug metabolism.</w:t>
      </w:r>
      <w:r w:rsidR="006F7AFB" w:rsidRPr="006F7AFB">
        <w:rPr>
          <w:rFonts w:cstheme="minorHAnsi"/>
          <w:sz w:val="32"/>
          <w:szCs w:val="32"/>
          <w:shd w:val="clear" w:color="auto" w:fill="FFFFFF"/>
        </w:rPr>
        <w:t xml:space="preserve"> The hormonal changes of puberty/adolescence provide a theoretical framework for understanding biochemical regulation of DME activity during growth and maturation.</w:t>
      </w:r>
    </w:p>
    <w:p w:rsidR="00BB75E1" w:rsidRPr="006F7AFB" w:rsidRDefault="00BB75E1" w:rsidP="00FF7EF5">
      <w:pPr>
        <w:pStyle w:val="ListParagraph"/>
        <w:rPr>
          <w:rFonts w:cstheme="minorHAnsi"/>
          <w:sz w:val="32"/>
          <w:szCs w:val="32"/>
        </w:rPr>
      </w:pPr>
      <w:r w:rsidRPr="006F7AFB">
        <w:rPr>
          <w:rFonts w:cstheme="minorHAnsi"/>
          <w:b/>
          <w:sz w:val="32"/>
          <w:szCs w:val="32"/>
        </w:rPr>
        <w:t>Diets:</w:t>
      </w:r>
      <w:r w:rsidRPr="006F7AFB">
        <w:rPr>
          <w:rFonts w:cstheme="minorHAnsi"/>
          <w:sz w:val="32"/>
          <w:szCs w:val="32"/>
        </w:rPr>
        <w:t xml:space="preserve"> they can hinder or reduce drug metabolism. </w:t>
      </w:r>
      <w:r w:rsidR="001D68EB" w:rsidRPr="006F7AFB">
        <w:rPr>
          <w:rFonts w:cstheme="minorHAnsi"/>
          <w:sz w:val="32"/>
          <w:szCs w:val="32"/>
          <w:shd w:val="clear" w:color="auto" w:fill="EEEEEE"/>
        </w:rPr>
        <w:t xml:space="preserve">Starvation results in decreased amount of glucuronides formed than under normal conditions. Dietary deficiency of vitamins like Vitamin A, B2, B3, C and E) and minerals such as Fe, Ca, Mg, Zn retard the metabolic activity of enzymes. Grapefruit inhibits metabolism of many drugs and improve their oral bioavailability. Fat free diet depresses cytochrome P-450 levels since phospholipids, which are important components </w:t>
      </w:r>
      <w:r w:rsidR="00E55B8C" w:rsidRPr="006F7AFB">
        <w:rPr>
          <w:rFonts w:cstheme="minorHAnsi"/>
          <w:sz w:val="32"/>
          <w:szCs w:val="32"/>
          <w:shd w:val="clear" w:color="auto" w:fill="EEEEEE"/>
        </w:rPr>
        <w:t>of microsomes become deficient.</w:t>
      </w:r>
      <w:r w:rsidR="001D68EB" w:rsidRPr="006F7AFB">
        <w:rPr>
          <w:rFonts w:cstheme="minorHAnsi"/>
          <w:sz w:val="32"/>
          <w:szCs w:val="32"/>
          <w:shd w:val="clear" w:color="auto" w:fill="EEEEEE"/>
        </w:rPr>
        <w:t xml:space="preserve"> Low protein diet decreases and high protein diet increases the drug metabolizing ability as enzyme synthesis is promote</w:t>
      </w:r>
      <w:r w:rsidR="006F7AFB" w:rsidRPr="006F7AFB">
        <w:rPr>
          <w:rFonts w:cstheme="minorHAnsi"/>
          <w:sz w:val="32"/>
          <w:szCs w:val="32"/>
          <w:shd w:val="clear" w:color="auto" w:fill="EEEEEE"/>
        </w:rPr>
        <w:t>d by protein diet and also raises</w:t>
      </w:r>
      <w:r w:rsidR="001D68EB" w:rsidRPr="006F7AFB">
        <w:rPr>
          <w:rFonts w:cstheme="minorHAnsi"/>
          <w:sz w:val="32"/>
          <w:szCs w:val="32"/>
          <w:shd w:val="clear" w:color="auto" w:fill="EEEEEE"/>
        </w:rPr>
        <w:t xml:space="preserve"> the level of amino ac</w:t>
      </w:r>
      <w:r w:rsidR="00E55B8C" w:rsidRPr="006F7AFB">
        <w:rPr>
          <w:rFonts w:cstheme="minorHAnsi"/>
          <w:sz w:val="32"/>
          <w:szCs w:val="32"/>
          <w:shd w:val="clear" w:color="auto" w:fill="EEEEEE"/>
        </w:rPr>
        <w:t xml:space="preserve">ids for conjugation with </w:t>
      </w:r>
      <w:r w:rsidR="006F7AFB" w:rsidRPr="006F7AFB">
        <w:rPr>
          <w:rFonts w:cstheme="minorHAnsi"/>
          <w:sz w:val="32"/>
          <w:szCs w:val="32"/>
          <w:shd w:val="clear" w:color="auto" w:fill="EEEEEE"/>
        </w:rPr>
        <w:t>drugs. The</w:t>
      </w:r>
      <w:r w:rsidR="001D68EB" w:rsidRPr="006F7AFB">
        <w:rPr>
          <w:rFonts w:cstheme="minorHAnsi"/>
          <w:sz w:val="32"/>
          <w:szCs w:val="32"/>
          <w:shd w:val="clear" w:color="auto" w:fill="EEEEEE"/>
        </w:rPr>
        <w:t xml:space="preserve"> enzyme content and activity is altered by a number of dietary components. </w:t>
      </w:r>
    </w:p>
    <w:sectPr w:rsidR="00BB75E1" w:rsidRPr="006F7AFB"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2318"/>
    <w:multiLevelType w:val="hybridMultilevel"/>
    <w:tmpl w:val="46C4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B4D39"/>
    <w:rsid w:val="001D68EB"/>
    <w:rsid w:val="004719D4"/>
    <w:rsid w:val="006F7AFB"/>
    <w:rsid w:val="007C033E"/>
    <w:rsid w:val="00AB4D39"/>
    <w:rsid w:val="00B17E41"/>
    <w:rsid w:val="00BB75E1"/>
    <w:rsid w:val="00CC1CBD"/>
    <w:rsid w:val="00D31FF9"/>
    <w:rsid w:val="00DC2E35"/>
    <w:rsid w:val="00E55B8C"/>
    <w:rsid w:val="00FF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39"/>
    <w:pPr>
      <w:ind w:left="720"/>
      <w:contextualSpacing/>
    </w:pPr>
  </w:style>
  <w:style w:type="table" w:styleId="TableGrid">
    <w:name w:val="Table Grid"/>
    <w:basedOn w:val="TableNormal"/>
    <w:uiPriority w:val="59"/>
    <w:rsid w:val="00FF7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1CBD"/>
    <w:rPr>
      <w:color w:val="0000FF"/>
      <w:u w:val="single"/>
    </w:rPr>
  </w:style>
  <w:style w:type="character" w:styleId="Emphasis">
    <w:name w:val="Emphasis"/>
    <w:basedOn w:val="DefaultParagraphFont"/>
    <w:uiPriority w:val="20"/>
    <w:qFormat/>
    <w:rsid w:val="00DC2E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3</cp:revision>
  <dcterms:created xsi:type="dcterms:W3CDTF">2020-05-07T02:24:00Z</dcterms:created>
  <dcterms:modified xsi:type="dcterms:W3CDTF">2020-05-07T03:41:00Z</dcterms:modified>
</cp:coreProperties>
</file>