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8"/>
          <w:szCs w:val="28"/>
          <w:rFonts w:ascii="NanumGothic" w:eastAsia="NanumGothic" w:hAnsi="NanumGothic" w:cs="NanumGothic"/>
        </w:rPr>
      </w:pPr>
      <w:r>
        <w:rPr>
          <w:color w:val="auto"/>
          <w:sz w:val="28"/>
          <w:szCs w:val="28"/>
          <w:rFonts w:ascii="NanumGothic" w:eastAsia="NanumGothic" w:hAnsi="NanumGothic" w:cs="NanumGothic"/>
        </w:rPr>
        <w:t xml:space="preserve">NAME: Ibezim, Emily Chika</w:t>
      </w:r>
    </w:p>
    <w:p>
      <w:pPr>
        <w:spacing w:lineRule="auto" w:line="259"/>
        <w:rPr>
          <w:color w:val="auto"/>
          <w:sz w:val="28"/>
          <w:szCs w:val="28"/>
          <w:rFonts w:ascii="NanumGothic" w:eastAsia="NanumGothic" w:hAnsi="NanumGothic" w:cs="NanumGothic"/>
        </w:rPr>
      </w:pPr>
      <w:r>
        <w:rPr>
          <w:color w:val="auto"/>
          <w:sz w:val="28"/>
          <w:szCs w:val="28"/>
          <w:rFonts w:ascii="NanumGothic" w:eastAsia="NanumGothic" w:hAnsi="NanumGothic" w:cs="NanumGothic"/>
        </w:rPr>
        <w:t xml:space="preserve">MATRIC NUMBER: 17/mhs01/143</w:t>
      </w:r>
    </w:p>
    <w:p>
      <w:pPr>
        <w:spacing w:lineRule="auto" w:line="259"/>
        <w:rPr>
          <w:color w:val="auto"/>
          <w:sz w:val="28"/>
          <w:szCs w:val="28"/>
          <w:rFonts w:ascii="NanumGothic" w:eastAsia="NanumGothic" w:hAnsi="NanumGothic" w:cs="NanumGothic"/>
        </w:rPr>
      </w:pPr>
      <w:r>
        <w:rPr>
          <w:color w:val="auto"/>
          <w:sz w:val="28"/>
          <w:szCs w:val="28"/>
          <w:rFonts w:ascii="NanumGothic" w:eastAsia="NanumGothic" w:hAnsi="NanumGothic" w:cs="NanumGothic"/>
        </w:rPr>
        <w:t xml:space="preserve">DEPARTMENT: Medicine and Surgery </w:t>
      </w:r>
    </w:p>
    <w:p>
      <w:pPr>
        <w:spacing w:lineRule="auto" w:line="259"/>
        <w:rPr>
          <w:color w:val="auto"/>
          <w:sz w:val="28"/>
          <w:szCs w:val="28"/>
          <w:rFonts w:ascii="NanumGothic" w:eastAsia="NanumGothic" w:hAnsi="NanumGothic" w:cs="NanumGothic"/>
        </w:rPr>
      </w:pPr>
      <w:r>
        <w:rPr>
          <w:color w:val="auto"/>
          <w:sz w:val="28"/>
          <w:szCs w:val="28"/>
          <w:rFonts w:ascii="NanumGothic" w:eastAsia="NanumGothic" w:hAnsi="NanumGothic" w:cs="NanumGothic"/>
        </w:rPr>
        <w:t xml:space="preserve">COURSE TITLE: Medical Biochemistry IV</w:t>
      </w:r>
    </w:p>
    <w:p>
      <w:pPr>
        <w:spacing w:lineRule="auto" w:line="259"/>
        <w:rPr>
          <w:color w:val="auto"/>
          <w:sz w:val="28"/>
          <w:szCs w:val="28"/>
          <w:rFonts w:ascii="NanumGothic" w:eastAsia="NanumGothic" w:hAnsi="NanumGothic" w:cs="NanumGothic"/>
        </w:rPr>
      </w:pPr>
      <w:r>
        <w:rPr>
          <w:color w:val="auto"/>
          <w:sz w:val="28"/>
          <w:szCs w:val="28"/>
          <w:rFonts w:ascii="NanumGothic" w:eastAsia="NanumGothic" w:hAnsi="NanumGothic" w:cs="NanumGothic"/>
        </w:rPr>
        <w:t xml:space="preserve">COURSE CODE: BCH 313</w:t>
      </w:r>
    </w:p>
    <w:p>
      <w:pPr>
        <w:spacing w:lineRule="auto" w:line="259"/>
        <w:rPr>
          <w:color w:val="auto"/>
          <w:sz w:val="28"/>
          <w:szCs w:val="28"/>
          <w:rFonts w:ascii="NanumGothic" w:eastAsia="NanumGothic" w:hAnsi="NanumGothic" w:cs="NanumGothic"/>
        </w:rPr>
      </w:pPr>
    </w:p>
    <w:p>
      <w:pPr>
        <w:spacing w:lineRule="auto" w:line="259"/>
        <w:rPr>
          <w:b w:val="1"/>
          <w:color w:val="auto"/>
          <w:sz w:val="28"/>
          <w:szCs w:val="28"/>
          <w:u w:val="single"/>
          <w:rFonts w:ascii="NanumGothic" w:eastAsia="NanumGothic" w:hAnsi="NanumGothic" w:cs="NanumGothic"/>
        </w:rPr>
      </w:pPr>
      <w:r>
        <w:rPr>
          <w:b w:val="1"/>
          <w:color w:val="auto"/>
          <w:sz w:val="28"/>
          <w:szCs w:val="28"/>
          <w:u w:val="single"/>
          <w:rFonts w:ascii="NanumGothic" w:eastAsia="NanumGothic" w:hAnsi="NanumGothic" w:cs="NanumGothic"/>
        </w:rPr>
        <w:t xml:space="preserve">QUESTION 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1. What do you understand by primary or simple obesity 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2. How does congenital syndrome and drug therapy affect obesity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3. Outline the aetiology of cancer and its molecular basis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1"/>
          <w:color w:val="auto"/>
          <w:sz w:val="28"/>
          <w:szCs w:val="28"/>
          <w:u w:val="single"/>
          <w:rFonts w:ascii="NanumGothic" w:eastAsia="NanumGothic" w:hAnsi="NanumGothic" w:cs="NanumGothic"/>
        </w:rPr>
      </w:pPr>
      <w:r>
        <w:rPr>
          <w:b w:val="1"/>
          <w:color w:val="auto"/>
          <w:sz w:val="28"/>
          <w:szCs w:val="28"/>
          <w:u w:val="single"/>
          <w:rFonts w:ascii="NanumGothic" w:eastAsia="NanumGothic" w:hAnsi="NanumGothic" w:cs="NanumGothic"/>
        </w:rPr>
        <w:t>SOLUTION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1. Obesity is a medical condition in which excess body fat has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accumulated to the extent that it may have an adverse effect on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health. It is defined by body mass index (BMI) and further evaluated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 terms of fat distribution via the waist–hip ratio and total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cardiovascular risk factors.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Primary or simple obesity is obesity resulting when caloric intake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exceeds energy expenditure. It is not associated with clinical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>conditions.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2. Secondary obesity is obesity that arises due to medical conditions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that causes the individual to gain weight. These diseases include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endocrine disorders, hypothalamic disorders, some congenital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conditions/syndromes and drug therapy.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There are also some rare causes of secondary obesity like Prader-Willi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syndrome, Laurence-Moon-Biedl (Bardet-Biedl) syndrome, Cohen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syndrome, Albright hereditary osteodystrophy and Beckwith-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Weidemann syndrome to mention a few. </w:t>
      </w:r>
    </w:p>
    <w:p>
      <w:p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p>
      <w:pPr>
        <w:numPr>
          <w:ilvl w:val="0"/>
          <w:numId w:val="1"/>
        </w:numPr>
        <w:spacing w:lineRule="auto" w:line="259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1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How Congenital syndromes affect Obesity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As seen above, some congenital syndromes can lead to the secondary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type of obesity. An example of this is seen inPrader-Willi syndrome.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 obesity associated with PWS (Prader-Willi syndrome) results from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 chronic imbalance between energy intake and expenditure due to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hyperphagia, decreased physical activity, reduced metabolic rate and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an inability to vomit. Individuals with PWS have a lower lean body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mass compared with controls contributing to reduced energy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expenditure. 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 the case of Bardet-Biedl syndrome (BBS) which is a rare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developmental disorder with the cardinal features of </w:t>
      </w:r>
      <w:r>
        <w:rPr>
          <w:b w:val="1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abdominal </w:t>
      </w:r>
      <w:r>
        <w:rPr>
          <w:b w:val="1"/>
          <w:color w:val="auto"/>
          <w:sz w:val="28"/>
          <w:szCs w:val="28"/>
          <w:u w:val="none"/>
          <w:rFonts w:ascii="NanumGothic" w:eastAsia="NanumGothic" w:hAnsi="NanumGothic" w:cs="NanumGothic"/>
        </w:rPr>
        <w:t>obesity,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 retinopathy, polydactyly, cognitive impairment, renal and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cardiac anomalies, hypertension, and diabetes. It has been suggested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that heterozygous carriers of BBS are predisposed to obesity,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specifically with fat deposition along the abdomen.              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Thus, Bardet-Biedl syndrome affects obesity in that it leads to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abdominal/truncal obesity. Cohen syndrome is also cha by truncal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>obesity.</w:t>
      </w:r>
    </w:p>
    <w:p>
      <w:pPr>
        <w:numPr>
          <w:ilvl w:val="0"/>
          <w:numId w:val="4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1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How drug therapy affects Obesity 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Drug-induced weight gain is a serious side effect of many commonly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used drugs leading to noncompliance with therapy and to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exacerbation of comorbid conditions related to obesity. Improved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glycemic control achieved by insulin, insulin secretagogues or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thiazolidinedione therapy is generally accompanied by weight gain. It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is a problematic side effect of therapy due to the known deleterious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effect of weight gain on glucose control, increased blood pressure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and worsening lipid profile. 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 atypical antipsychotic drugs (clozapine, olanzepine, risperidone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and quetiapine) are known to cause marked weight gain.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This shows that drug therapy can also affect obesity.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3. Cancer is the uncontrolled growth of abnormal cells anywhere in a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body. It is a disease in which abnormal cells divide uncontrollably and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destroy body tissue. 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singl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single"/>
          <w:rFonts w:ascii="NanumGothic" w:eastAsia="NanumGothic" w:hAnsi="NanumGothic" w:cs="NanumGothic"/>
        </w:rPr>
        <w:t xml:space="preserve">AETIOLOGY OF CANCER 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Cancer is caused by accumulated damage to genes. Such changes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may be due to chance or to exposure to a cancer causing substance.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 substances that cause cancer are called carcinogens. A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carcinogen may be a chemical substance, such as certain molecules in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tobacco smoke. The cause of cancer may be environmental agents,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viral or genetic factors.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We can roughly divide cancer risk factors into the following groups: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1. </w:t>
      </w:r>
      <w:r>
        <w:rPr>
          <w:b w:val="1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Biological or internal factors,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 such as age, gender, inherited genetic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defects and skin type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2. </w:t>
      </w:r>
      <w:r>
        <w:rPr>
          <w:b w:val="1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Environmental exposure,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 for instance to radon and UV radiation,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and fine particulate matter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3. </w:t>
      </w:r>
      <w:r>
        <w:rPr>
          <w:b w:val="1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Occupational risk factors,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 including carcinogens such as many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chemicals, radioactive materials and asbestos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4. </w:t>
      </w:r>
      <w:r>
        <w:rPr>
          <w:b w:val="1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Lifestyle-related factors.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•Lifestyle-related factors that cause cancer include: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- tobacco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- alcohol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- UV radiation in sunlight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- some food-related factors, such as nitrites and poly aromatic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hydrocarbons generated by barbecuing food).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Lifestyles can prevent cancer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•Cancer causing factors related to work and living environments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>include: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- asbestos fibres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- tar and pitch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- polynuclear hydrocarbons (e.g. benzopyrene)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- Some metal compounds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- Some plastic chemicals (e.g. Vinyl chloride)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•Bacteria and viruses can cause cancer: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- Helicobacter pylori (H. pylori, which causes gastritis)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- HBV, HCV (hepatitis viruses that cause hepatitis)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- HPV (human papilloma virus, papilloma virus, which causes changes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eg. Cervical cells)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- EBV (Epstein-Barr virus, the herpes virus that causes inflammation of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 throat lymphoid)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•Radiation can cause cancer: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- ionising radiation (e.g. X-ray radiation, soil radon)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- non-ionised radiation (the sun’s ultraviolet radiation)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•Some drugs may increase the risk of cancer: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- certain antineoplastic agents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- certain hormones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medicines that cause immune deficiency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 5 – 10 per cent of breast cancer genetic predisposition plays an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important role in the emergence of the disease.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single"/>
          <w:rFonts w:ascii="NanumGothic" w:eastAsia="NanumGothic" w:hAnsi="NanumGothic" w:cs="NanumGothic"/>
        </w:rPr>
        <w:t xml:space="preserve">MOLECULAR BASIS OF CANCER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Cancer is a genetic disease. It is a disease of uncontrolled growth and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proliferation whereby cells have escaped the body’s normal growth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control mechanisms and have gained the ability to divide indefinitely.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It is a multi-step process that requires the accumulation of many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genetic changes over time. These genetic alterations involve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activation of proto-oncogenes to oncogenes, deregulation of tumour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suppressor genes and DNA repair genes and ‘immortalisation’.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single"/>
          <w:rFonts w:ascii="NanumGothic" w:eastAsia="NanumGothic" w:hAnsi="NanumGothic" w:cs="NanumGothic"/>
        </w:rPr>
      </w:pPr>
      <w:r>
        <w:rPr>
          <w:sz w:val="20"/>
        </w:rPr>
        <w:drawing>
          <wp:inline distT="0" distB="0" distL="0" distR="0">
            <wp:extent cx="5731510" cy="3592195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var/mobile/Containers/Data/Application/F5A3624A-C5C7-4909-93FC-7C68D305960D/tmp/_d/fImage3512591316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59283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Figure 1: Overview of the road to cancer. Cells may acquire mutations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 genes that control proliferation, such as proto-oncogenes and/or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tumour suppressor genes. Each new mutation may provide a selective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advantage for this cell, leading to ‘clonal expansion’. Cellular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properties changed in this process include cell cycle deregulation,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apoptosis prevention and cell adhesion properties (CAMs – Cellular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adhesion molecules).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single"/>
          <w:rFonts w:ascii="NanumGothic" w:eastAsia="NanumGothic" w:hAnsi="NanumGothic" w:cs="NanumGothic"/>
        </w:rPr>
      </w:pP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1"/>
          <w:color w:val="auto"/>
          <w:sz w:val="28"/>
          <w:szCs w:val="28"/>
          <w:u w:val="single"/>
          <w:rFonts w:ascii="NanumGothic" w:eastAsia="NanumGothic" w:hAnsi="NanumGothic" w:cs="NanumGothic"/>
        </w:rPr>
      </w:pPr>
      <w:r>
        <w:rPr>
          <w:b w:val="1"/>
          <w:color w:val="auto"/>
          <w:sz w:val="28"/>
          <w:szCs w:val="28"/>
          <w:u w:val="single"/>
          <w:rFonts w:ascii="NanumGothic" w:eastAsia="NanumGothic" w:hAnsi="NanumGothic" w:cs="NanumGothic"/>
        </w:rPr>
        <w:t xml:space="preserve">Cell cycle regulation and the importance of apoptosis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 normal cells, proliferation and progression through the cell cycle is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strictly regulated by groups of proteins that interact with each other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 a specific sequence of events (Figure 2). Checkpoints ascertain that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individual stages of the cell cycle are completed correctly and ensure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that incompletely replicated DNA is not passed onto daughter cells.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Core to this control system are cyclin-dependent kinases (CDKs).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CDKs are ‘master protein kinases’ that drive progression through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different phases of the cell cycle by phosphorylating and activating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other downstream kinases. CDK activity is dependent on the presence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of activating subunits called cyclins which are synthesised and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degraded in a cell cycle-dependent manner. Cyclin-CDK complexes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are further tightly regulated by CDK inhibitors.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sz w:val="20"/>
        </w:rPr>
        <w:drawing>
          <wp:inline distT="0" distB="0" distL="0" distR="0">
            <wp:extent cx="3629025" cy="3371850"/>
            <wp:effectExtent l="0" t="0" r="0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var/mobile/Containers/Data/Application/F5A3624A-C5C7-4909-93FC-7C68D305960D/tmp/_d/fImage9820216776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660" cy="337248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Figure 2: Cyclins and cyclin-dependent kinases (CDKs) regulate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cell cycle. CDK’s and their regulatory subunits, cyclins (A, B, D &amp; E)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tightly control transition through the cell cycle. The brackets indicate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 periods in which the cyclin-CDK complexes are active and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orchestrate all events necessary in this period. The restriction point (R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point) is a point in G1 at which the cell becomes ‘committed’ to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cell cycle and after which extracellular proliferation signals are no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longer required.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 re-entry of cells into the cell cycle is decided at the restriction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point (R point). This decision is influenced by extracellular mitogenic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signals which are transmitted via signalling pathways to key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regulatory proteins, such as transcription factors (e.g. E2F) in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nucleus (refer to Figure 3, Section 2). These regulatory proteins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ultimately activate the S-phase CDKs, which trigger the start of DNA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>synthesis.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 normal cells, activation of another transcription factor, p53, often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referred to as the ‘guardian of the genome’, can impose cell cycle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arrest and induce apoptosis (programmed cell death) through its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ability to: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induce the expression of cell cycle inhibitors to prevent proliferation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of a cell until any damage has been repaired or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initiate apoptosis, if the genomic damage is too great and cannot be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>repaired.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 &gt;50% of all human tumours the p53 pathway is aberrant.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Inactivation of the p53 protein renders it unable to signal and activate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the cell’s apoptotic machinery resulting in increased survival of cancer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>cells.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1"/>
          <w:color w:val="auto"/>
          <w:sz w:val="28"/>
          <w:szCs w:val="28"/>
          <w:u w:val="single"/>
          <w:rFonts w:ascii="NanumGothic" w:eastAsia="NanumGothic" w:hAnsi="NanumGothic" w:cs="NanumGothic"/>
        </w:rPr>
      </w:pPr>
      <w:r>
        <w:rPr>
          <w:b w:val="1"/>
          <w:color w:val="auto"/>
          <w:sz w:val="28"/>
          <w:szCs w:val="28"/>
          <w:u w:val="single"/>
          <w:rFonts w:ascii="NanumGothic" w:eastAsia="NanumGothic" w:hAnsi="NanumGothic" w:cs="NanumGothic"/>
        </w:rPr>
        <w:t xml:space="preserve">Cell immortalisation and tumourigenesis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Immortalisation is defined as the acquisition of an infinite lifespan.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Normal mammalian somatic cells proliferate a limited number of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times before undergoing senescence. Senescent cells may remain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metabolically active even though they have permanently ceased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proliferation. Immortalisation is an essential step in the malignant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transformation of normal cells and can be attributed, in part, to the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presence of telomerase, the enzyme responsible for maintaining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telomeres at the ends of chromosomes. By extending telomeric DNA,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telomerase is able to counter the progressive telomere shortening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that would otherwise lead to cell death. Unlike normal cells that lack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detectable levels of telomerase activity, approximately 90% of human </w:t>
      </w:r>
      <w:r>
        <w:rPr>
          <w:b w:val="0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tumours consist of cells that contain an active telomerase enzyme.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4228D63C"/>
    <w:lvl w:ilvl="0">
      <w:lvlJc w:val="left"/>
      <w:numFmt w:val="bullet"/>
      <w:start w:val="1"/>
      <w:suff w:val="tab"/>
      <w:pPr>
        <w:ind w:left="800" w:hanging="400"/>
        <w:rPr/>
      </w:pPr>
      <w:rPr>
        <w:rFonts w:ascii="Wingdings" w:eastAsia="Wingdings" w:hAnsi="Wingdings" w:cs="Wingdings"/>
      </w:rPr>
      <w:lvlText w:val="Ø"/>
    </w:lvl>
    <w:lvl w:ilvl="1">
      <w:lvlJc w:val="left"/>
      <w:numFmt w:val="bullet"/>
      <w:start w:val="1"/>
      <w:suff w:val="tab"/>
      <w:pPr>
        <w:ind w:left="1200" w:hanging="400"/>
        <w:rPr/>
      </w:pPr>
      <w:rPr>
        <w:rFonts w:ascii="Wingdings" w:eastAsia="Wingdings" w:hAnsi="Wingdings" w:cs="Wingdings"/>
      </w:rPr>
      <w:lvlText w:val="n"/>
    </w:lvl>
    <w:lvl w:ilvl="2">
      <w:lvlJc w:val="left"/>
      <w:numFmt w:val="bullet"/>
      <w:start w:val="1"/>
      <w:suff w:val="tab"/>
      <w:pPr>
        <w:ind w:left="1600" w:hanging="400"/>
        <w:rPr/>
      </w:pPr>
      <w:rPr>
        <w:rFonts w:ascii="Wingdings" w:eastAsia="Wingdings" w:hAnsi="Wingdings" w:cs="Wingdings"/>
      </w:rPr>
      <w:lvlText w:val="u"/>
    </w:lvl>
    <w:lvl w:ilvl="3">
      <w:lvlJc w:val="left"/>
      <w:numFmt w:val="bullet"/>
      <w:start w:val="1"/>
      <w:suff w:val="tab"/>
      <w:pPr>
        <w:ind w:left="2000" w:hanging="400"/>
        <w:rPr/>
      </w:pPr>
      <w:rPr>
        <w:rFonts w:ascii="Wingdings" w:eastAsia="Wingdings" w:hAnsi="Wingdings" w:cs="Wingdings"/>
      </w:rPr>
      <w:lvlText w:val="Ø"/>
    </w:lvl>
    <w:lvl w:ilvl="4">
      <w:lvlJc w:val="left"/>
      <w:numFmt w:val="bullet"/>
      <w:start w:val="1"/>
      <w:suff w:val="tab"/>
      <w:pPr>
        <w:ind w:left="2400" w:hanging="400"/>
        <w:rPr/>
      </w:pPr>
      <w:rPr>
        <w:rFonts w:ascii="Wingdings" w:eastAsia="Wingdings" w:hAnsi="Wingdings" w:cs="Wingdings"/>
      </w:rPr>
      <w:lvlText w:val="n"/>
    </w:lvl>
    <w:lvl w:ilvl="5">
      <w:lvlJc w:val="left"/>
      <w:numFmt w:val="bullet"/>
      <w:start w:val="1"/>
      <w:suff w:val="tab"/>
      <w:pPr>
        <w:ind w:left="2800" w:hanging="400"/>
        <w:rPr/>
      </w:pPr>
      <w:rPr>
        <w:rFonts w:ascii="Wingdings" w:eastAsia="Wingdings" w:hAnsi="Wingdings" w:cs="Wingdings"/>
      </w:rPr>
      <w:lvlText w:val="u"/>
    </w:lvl>
    <w:lvl w:ilvl="6">
      <w:lvlJc w:val="left"/>
      <w:numFmt w:val="bullet"/>
      <w:start w:val="1"/>
      <w:suff w:val="tab"/>
      <w:pPr>
        <w:ind w:left="3200" w:hanging="400"/>
        <w:rPr/>
      </w:pPr>
      <w:rPr>
        <w:rFonts w:ascii="Wingdings" w:eastAsia="Wingdings" w:hAnsi="Wingdings" w:cs="Wingdings"/>
      </w:rPr>
      <w:lvlText w:val="Ø"/>
    </w:lvl>
    <w:lvl w:ilvl="7">
      <w:lvlJc w:val="left"/>
      <w:numFmt w:val="bullet"/>
      <w:start w:val="1"/>
      <w:suff w:val="tab"/>
      <w:pPr>
        <w:ind w:left="3600" w:hanging="400"/>
        <w:rPr/>
      </w:pPr>
      <w:rPr>
        <w:rFonts w:ascii="Wingdings" w:eastAsia="Wingdings" w:hAnsi="Wingdings" w:cs="Wingdings"/>
      </w:rPr>
      <w:lvlText w:val="n"/>
    </w:lvl>
    <w:lvl w:ilvl="8">
      <w:lvlJc w:val="left"/>
      <w:numFmt w:val="bullet"/>
      <w:start w:val="1"/>
      <w:suff w:val="tab"/>
      <w:pPr>
        <w:ind w:left="4000" w:hanging="400"/>
        <w:rPr/>
      </w:pPr>
      <w:rPr>
        <w:rFonts w:ascii="Wingdings" w:eastAsia="Wingdings" w:hAnsi="Wingdings" w:cs="Wingdings"/>
      </w:rPr>
      <w:lvlText w:val="u"/>
    </w:lvl>
  </w:abstractNum>
  <w:abstractNum w:abstractNumId="1">
    <w:multiLevelType w:val="hybridMultilevel"/>
    <w:nsid w:val="2F000001"/>
    <w:tmpl w:val="2D090F2C"/>
    <w:lvl w:ilvl="0">
      <w:lvlJc w:val="left"/>
      <w:numFmt w:val="bullet"/>
      <w:start w:val="1"/>
      <w:suff w:val="tab"/>
      <w:pPr>
        <w:ind w:left="800" w:hanging="400"/>
        <w:rPr/>
      </w:pPr>
      <w:rPr>
        <w:rFonts w:ascii="Wingdings" w:eastAsia="Wingdings" w:hAnsi="Wingdings" w:cs="Wingdings"/>
      </w:rPr>
      <w:lvlText w:val="Ø"/>
    </w:lvl>
    <w:lvl w:ilvl="1">
      <w:lvlJc w:val="left"/>
      <w:numFmt w:val="bullet"/>
      <w:start w:val="1"/>
      <w:suff w:val="tab"/>
      <w:pPr>
        <w:ind w:left="1200" w:hanging="400"/>
        <w:rPr/>
      </w:pPr>
      <w:rPr>
        <w:rFonts w:ascii="Wingdings" w:eastAsia="Wingdings" w:hAnsi="Wingdings" w:cs="Wingdings"/>
      </w:rPr>
      <w:lvlText w:val="n"/>
    </w:lvl>
    <w:lvl w:ilvl="2">
      <w:lvlJc w:val="left"/>
      <w:numFmt w:val="bullet"/>
      <w:start w:val="1"/>
      <w:suff w:val="tab"/>
      <w:pPr>
        <w:ind w:left="1600" w:hanging="400"/>
        <w:rPr/>
      </w:pPr>
      <w:rPr>
        <w:rFonts w:ascii="Wingdings" w:eastAsia="Wingdings" w:hAnsi="Wingdings" w:cs="Wingdings"/>
      </w:rPr>
      <w:lvlText w:val="u"/>
    </w:lvl>
    <w:lvl w:ilvl="3">
      <w:lvlJc w:val="left"/>
      <w:numFmt w:val="bullet"/>
      <w:start w:val="1"/>
      <w:suff w:val="tab"/>
      <w:pPr>
        <w:ind w:left="2000" w:hanging="400"/>
        <w:rPr/>
      </w:pPr>
      <w:rPr>
        <w:rFonts w:ascii="Wingdings" w:eastAsia="Wingdings" w:hAnsi="Wingdings" w:cs="Wingdings"/>
      </w:rPr>
      <w:lvlText w:val="Ø"/>
    </w:lvl>
    <w:lvl w:ilvl="4">
      <w:lvlJc w:val="left"/>
      <w:numFmt w:val="bullet"/>
      <w:start w:val="1"/>
      <w:suff w:val="tab"/>
      <w:pPr>
        <w:ind w:left="2400" w:hanging="400"/>
        <w:rPr/>
      </w:pPr>
      <w:rPr>
        <w:rFonts w:ascii="Wingdings" w:eastAsia="Wingdings" w:hAnsi="Wingdings" w:cs="Wingdings"/>
      </w:rPr>
      <w:lvlText w:val="n"/>
    </w:lvl>
    <w:lvl w:ilvl="5">
      <w:lvlJc w:val="left"/>
      <w:numFmt w:val="bullet"/>
      <w:start w:val="1"/>
      <w:suff w:val="tab"/>
      <w:pPr>
        <w:ind w:left="2800" w:hanging="400"/>
        <w:rPr/>
      </w:pPr>
      <w:rPr>
        <w:rFonts w:ascii="Wingdings" w:eastAsia="Wingdings" w:hAnsi="Wingdings" w:cs="Wingdings"/>
      </w:rPr>
      <w:lvlText w:val="u"/>
    </w:lvl>
    <w:lvl w:ilvl="6">
      <w:lvlJc w:val="left"/>
      <w:numFmt w:val="bullet"/>
      <w:start w:val="1"/>
      <w:suff w:val="tab"/>
      <w:pPr>
        <w:ind w:left="3200" w:hanging="400"/>
        <w:rPr/>
      </w:pPr>
      <w:rPr>
        <w:rFonts w:ascii="Wingdings" w:eastAsia="Wingdings" w:hAnsi="Wingdings" w:cs="Wingdings"/>
      </w:rPr>
      <w:lvlText w:val="Ø"/>
    </w:lvl>
    <w:lvl w:ilvl="7">
      <w:lvlJc w:val="left"/>
      <w:numFmt w:val="bullet"/>
      <w:start w:val="1"/>
      <w:suff w:val="tab"/>
      <w:pPr>
        <w:ind w:left="3600" w:hanging="400"/>
        <w:rPr/>
      </w:pPr>
      <w:rPr>
        <w:rFonts w:ascii="Wingdings" w:eastAsia="Wingdings" w:hAnsi="Wingdings" w:cs="Wingdings"/>
      </w:rPr>
      <w:lvlText w:val="n"/>
    </w:lvl>
    <w:lvl w:ilvl="8">
      <w:lvlJc w:val="left"/>
      <w:numFmt w:val="bullet"/>
      <w:start w:val="1"/>
      <w:suff w:val="tab"/>
      <w:pPr>
        <w:ind w:left="4000" w:hanging="400"/>
        <w:rPr/>
      </w:pPr>
      <w:rPr>
        <w:rFonts w:ascii="Wingdings" w:eastAsia="Wingdings" w:hAnsi="Wingdings" w:cs="Wingdings"/>
      </w:rPr>
      <w:lvlText w:val="u"/>
    </w:lvl>
  </w:abstractNum>
  <w:abstractNum w:abstractNumId="2">
    <w:multiLevelType w:val="hybridMultilevel"/>
    <w:nsid w:val="2F000002"/>
    <w:tmpl w:val="53C339BA"/>
    <w:lvl w:ilvl="0">
      <w:lvlJc w:val="left"/>
      <w:numFmt w:val="bullet"/>
      <w:start w:val="1"/>
      <w:suff w:val="tab"/>
      <w:pPr>
        <w:ind w:left="800" w:hanging="400"/>
        <w:rPr/>
      </w:pPr>
      <w:rPr>
        <w:rFonts w:ascii="Wingdings" w:eastAsia="Wingdings" w:hAnsi="Wingdings" w:cs="Wingdings"/>
      </w:rPr>
      <w:lvlText w:val="Ø"/>
    </w:lvl>
    <w:lvl w:ilvl="1">
      <w:lvlJc w:val="left"/>
      <w:numFmt w:val="bullet"/>
      <w:start w:val="1"/>
      <w:suff w:val="tab"/>
      <w:pPr>
        <w:ind w:left="1200" w:hanging="400"/>
        <w:rPr/>
      </w:pPr>
      <w:rPr>
        <w:rFonts w:ascii="Wingdings" w:eastAsia="Wingdings" w:hAnsi="Wingdings" w:cs="Wingdings"/>
      </w:rPr>
      <w:lvlText w:val="n"/>
    </w:lvl>
    <w:lvl w:ilvl="2">
      <w:lvlJc w:val="left"/>
      <w:numFmt w:val="bullet"/>
      <w:start w:val="1"/>
      <w:suff w:val="tab"/>
      <w:pPr>
        <w:ind w:left="1600" w:hanging="400"/>
        <w:rPr/>
      </w:pPr>
      <w:rPr>
        <w:rFonts w:ascii="Wingdings" w:eastAsia="Wingdings" w:hAnsi="Wingdings" w:cs="Wingdings"/>
      </w:rPr>
      <w:lvlText w:val="u"/>
    </w:lvl>
    <w:lvl w:ilvl="3">
      <w:lvlJc w:val="left"/>
      <w:numFmt w:val="bullet"/>
      <w:start w:val="1"/>
      <w:suff w:val="tab"/>
      <w:pPr>
        <w:ind w:left="2000" w:hanging="400"/>
        <w:rPr/>
      </w:pPr>
      <w:rPr>
        <w:rFonts w:ascii="Wingdings" w:eastAsia="Wingdings" w:hAnsi="Wingdings" w:cs="Wingdings"/>
      </w:rPr>
      <w:lvlText w:val="Ø"/>
    </w:lvl>
    <w:lvl w:ilvl="4">
      <w:lvlJc w:val="left"/>
      <w:numFmt w:val="bullet"/>
      <w:start w:val="1"/>
      <w:suff w:val="tab"/>
      <w:pPr>
        <w:ind w:left="2400" w:hanging="400"/>
        <w:rPr/>
      </w:pPr>
      <w:rPr>
        <w:rFonts w:ascii="Wingdings" w:eastAsia="Wingdings" w:hAnsi="Wingdings" w:cs="Wingdings"/>
      </w:rPr>
      <w:lvlText w:val="n"/>
    </w:lvl>
    <w:lvl w:ilvl="5">
      <w:lvlJc w:val="left"/>
      <w:numFmt w:val="bullet"/>
      <w:start w:val="1"/>
      <w:suff w:val="tab"/>
      <w:pPr>
        <w:ind w:left="2800" w:hanging="400"/>
        <w:rPr/>
      </w:pPr>
      <w:rPr>
        <w:rFonts w:ascii="Wingdings" w:eastAsia="Wingdings" w:hAnsi="Wingdings" w:cs="Wingdings"/>
      </w:rPr>
      <w:lvlText w:val="u"/>
    </w:lvl>
    <w:lvl w:ilvl="6">
      <w:lvlJc w:val="left"/>
      <w:numFmt w:val="bullet"/>
      <w:start w:val="1"/>
      <w:suff w:val="tab"/>
      <w:pPr>
        <w:ind w:left="3200" w:hanging="400"/>
        <w:rPr/>
      </w:pPr>
      <w:rPr>
        <w:rFonts w:ascii="Wingdings" w:eastAsia="Wingdings" w:hAnsi="Wingdings" w:cs="Wingdings"/>
      </w:rPr>
      <w:lvlText w:val="Ø"/>
    </w:lvl>
    <w:lvl w:ilvl="7">
      <w:lvlJc w:val="left"/>
      <w:numFmt w:val="bullet"/>
      <w:start w:val="1"/>
      <w:suff w:val="tab"/>
      <w:pPr>
        <w:ind w:left="3600" w:hanging="400"/>
        <w:rPr/>
      </w:pPr>
      <w:rPr>
        <w:rFonts w:ascii="Wingdings" w:eastAsia="Wingdings" w:hAnsi="Wingdings" w:cs="Wingdings"/>
      </w:rPr>
      <w:lvlText w:val="n"/>
    </w:lvl>
    <w:lvl w:ilvl="8">
      <w:lvlJc w:val="left"/>
      <w:numFmt w:val="bullet"/>
      <w:start w:val="1"/>
      <w:suff w:val="tab"/>
      <w:pPr>
        <w:ind w:left="4000" w:hanging="400"/>
        <w:rPr/>
      </w:pPr>
      <w:rPr>
        <w:rFonts w:ascii="Wingdings" w:eastAsia="Wingdings" w:hAnsi="Wingdings" w:cs="Wingdings"/>
      </w:rPr>
      <w:lvlText w:val="u"/>
    </w:lvl>
  </w:abstractNum>
  <w:abstractNum w:abstractNumId="3">
    <w:multiLevelType w:val="hybridMultilevel"/>
    <w:nsid w:val="2F000003"/>
    <w:tmpl w:val="5C02FD65"/>
    <w:lvl w:ilvl="0">
      <w:lvlJc w:val="left"/>
      <w:numFmt w:val="bullet"/>
      <w:start w:val="1"/>
      <w:suff w:val="tab"/>
      <w:pPr>
        <w:ind w:left="800" w:hanging="400"/>
        <w:rPr/>
      </w:pPr>
      <w:rPr>
        <w:rFonts w:ascii="Wingdings" w:eastAsia="Wingdings" w:hAnsi="Wingdings" w:cs="Wingdings"/>
      </w:rPr>
      <w:lvlText w:val="Ø"/>
    </w:lvl>
    <w:lvl w:ilvl="1">
      <w:lvlJc w:val="left"/>
      <w:numFmt w:val="bullet"/>
      <w:start w:val="1"/>
      <w:suff w:val="tab"/>
      <w:pPr>
        <w:ind w:left="1200" w:hanging="400"/>
        <w:rPr/>
      </w:pPr>
      <w:rPr>
        <w:rFonts w:ascii="Wingdings" w:eastAsia="Wingdings" w:hAnsi="Wingdings" w:cs="Wingdings"/>
      </w:rPr>
      <w:lvlText w:val="n"/>
    </w:lvl>
    <w:lvl w:ilvl="2">
      <w:lvlJc w:val="left"/>
      <w:numFmt w:val="bullet"/>
      <w:start w:val="1"/>
      <w:suff w:val="tab"/>
      <w:pPr>
        <w:ind w:left="1600" w:hanging="400"/>
        <w:rPr/>
      </w:pPr>
      <w:rPr>
        <w:rFonts w:ascii="Wingdings" w:eastAsia="Wingdings" w:hAnsi="Wingdings" w:cs="Wingdings"/>
      </w:rPr>
      <w:lvlText w:val="u"/>
    </w:lvl>
    <w:lvl w:ilvl="3">
      <w:lvlJc w:val="left"/>
      <w:numFmt w:val="bullet"/>
      <w:start w:val="1"/>
      <w:suff w:val="tab"/>
      <w:pPr>
        <w:ind w:left="2000" w:hanging="400"/>
        <w:rPr/>
      </w:pPr>
      <w:rPr>
        <w:rFonts w:ascii="Wingdings" w:eastAsia="Wingdings" w:hAnsi="Wingdings" w:cs="Wingdings"/>
      </w:rPr>
      <w:lvlText w:val="Ø"/>
    </w:lvl>
    <w:lvl w:ilvl="4">
      <w:lvlJc w:val="left"/>
      <w:numFmt w:val="bullet"/>
      <w:start w:val="1"/>
      <w:suff w:val="tab"/>
      <w:pPr>
        <w:ind w:left="2400" w:hanging="400"/>
        <w:rPr/>
      </w:pPr>
      <w:rPr>
        <w:rFonts w:ascii="Wingdings" w:eastAsia="Wingdings" w:hAnsi="Wingdings" w:cs="Wingdings"/>
      </w:rPr>
      <w:lvlText w:val="n"/>
    </w:lvl>
    <w:lvl w:ilvl="5">
      <w:lvlJc w:val="left"/>
      <w:numFmt w:val="bullet"/>
      <w:start w:val="1"/>
      <w:suff w:val="tab"/>
      <w:pPr>
        <w:ind w:left="2800" w:hanging="400"/>
        <w:rPr/>
      </w:pPr>
      <w:rPr>
        <w:rFonts w:ascii="Wingdings" w:eastAsia="Wingdings" w:hAnsi="Wingdings" w:cs="Wingdings"/>
      </w:rPr>
      <w:lvlText w:val="u"/>
    </w:lvl>
    <w:lvl w:ilvl="6">
      <w:lvlJc w:val="left"/>
      <w:numFmt w:val="bullet"/>
      <w:start w:val="1"/>
      <w:suff w:val="tab"/>
      <w:pPr>
        <w:ind w:left="3200" w:hanging="400"/>
        <w:rPr/>
      </w:pPr>
      <w:rPr>
        <w:rFonts w:ascii="Wingdings" w:eastAsia="Wingdings" w:hAnsi="Wingdings" w:cs="Wingdings"/>
      </w:rPr>
      <w:lvlText w:val="Ø"/>
    </w:lvl>
    <w:lvl w:ilvl="7">
      <w:lvlJc w:val="left"/>
      <w:numFmt w:val="bullet"/>
      <w:start w:val="1"/>
      <w:suff w:val="tab"/>
      <w:pPr>
        <w:ind w:left="3600" w:hanging="400"/>
        <w:rPr/>
      </w:pPr>
      <w:rPr>
        <w:rFonts w:ascii="Wingdings" w:eastAsia="Wingdings" w:hAnsi="Wingdings" w:cs="Wingdings"/>
      </w:rPr>
      <w:lvlText w:val="n"/>
    </w:lvl>
    <w:lvl w:ilvl="8">
      <w:lvlJc w:val="left"/>
      <w:numFmt w:val="bullet"/>
      <w:start w:val="1"/>
      <w:suff w:val="tab"/>
      <w:pPr>
        <w:ind w:left="4000" w:hanging="400"/>
        <w:rPr/>
      </w:pPr>
      <w:rPr>
        <w:rFonts w:ascii="Wingdings" w:eastAsia="Wingdings" w:hAnsi="Wingdings" w:cs="Wingdings"/>
      </w:rPr>
      <w:lvlText w:val="u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351259131623.png"></Relationship><Relationship Id="rId6" Type="http://schemas.openxmlformats.org/officeDocument/2006/relationships/image" Target="media/fImage98202167763.png"></Relationship><Relationship Id="rId7" Type="http://schemas.openxmlformats.org/officeDocument/2006/relationships/numbering" Target="numbering.xml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9</Pages>
  <Paragraphs>0</Paragraphs>
  <Words>115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ibezimemily</dc:creator>
  <cp:lastModifiedBy>ibezimemily</cp:lastModifiedBy>
</cp:coreProperties>
</file>