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tbl>
      <w:tblPr>
        <w:tblpPr w:leftFromText="187" w:rightFromText="187" w:topFromText="0" w:bottomFromText="0"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525"/>
        <w:gridCol w:w="3529"/>
        <w:gridCol w:w="2738"/>
      </w:tblGrid>
      <w:tr>
        <w:trPr/>
        <w:tc>
          <w:tcPr>
            <w:tcW w:w="3525" w:type="dxa"/>
            <w:tcBorders>
              <w:bottom w:val="single" w:sz="18" w:space="0" w:color="808080"/>
              <w:right w:val="single" w:sz="18" w:space="0" w:color="808080"/>
            </w:tcBorders>
            <w:vAlign w:val="center"/>
          </w:tcPr>
          <w:p>
            <w:pPr>
              <w:pStyle w:val="style157"/>
              <w:spacing w:lineRule="auto" w:line="360"/>
              <w:rPr>
                <w:rFonts w:ascii="Algerian" w:cs="宋体" w:eastAsia="宋体" w:hAnsi="Algerian"/>
                <w:sz w:val="60"/>
                <w:szCs w:val="60"/>
              </w:rPr>
            </w:pPr>
            <w:r>
              <w:rPr>
                <w:rFonts w:ascii="Algerian" w:cs="宋体" w:eastAsia="宋体" w:hAnsi="Algerian"/>
                <w:sz w:val="60"/>
                <w:szCs w:val="60"/>
              </w:rPr>
              <w:t xml:space="preserve">CONFLICT OF LAWS II </w:t>
            </w:r>
          </w:p>
          <w:p>
            <w:pPr>
              <w:pStyle w:val="style157"/>
              <w:spacing w:lineRule="auto" w:line="360"/>
              <w:rPr>
                <w:rFonts w:ascii="Algerian" w:cs="宋体" w:eastAsia="宋体" w:hAnsi="Algerian"/>
                <w:sz w:val="60"/>
                <w:szCs w:val="60"/>
              </w:rPr>
            </w:pPr>
            <w:r>
              <w:rPr>
                <w:rFonts w:ascii="Algerian" w:cs="宋体" w:eastAsia="宋体" w:hAnsi="Algerian"/>
                <w:sz w:val="60"/>
                <w:szCs w:val="60"/>
              </w:rPr>
              <w:t xml:space="preserve">LPI 402 </w:t>
            </w:r>
          </w:p>
        </w:tc>
        <w:tc>
          <w:tcPr>
            <w:tcW w:w="6267" w:type="dxa"/>
            <w:gridSpan w:val="2"/>
            <w:tcBorders>
              <w:left w:val="single" w:sz="18" w:space="0" w:color="808080"/>
              <w:bottom w:val="single" w:sz="18" w:space="0" w:color="808080"/>
            </w:tcBorders>
            <w:vAlign w:val="center"/>
          </w:tcPr>
          <w:p>
            <w:pPr>
              <w:pStyle w:val="style157"/>
              <w:spacing w:lineRule="auto" w:line="360"/>
              <w:rPr>
                <w:rFonts w:ascii="Algerian" w:cs="宋体" w:eastAsia="宋体" w:hAnsi="Algerian"/>
                <w:sz w:val="60"/>
                <w:szCs w:val="60"/>
              </w:rPr>
            </w:pPr>
            <w:r>
              <w:rPr>
                <w:rFonts w:ascii="Algerian" w:cs="宋体" w:eastAsia="宋体" w:hAnsi="Algerian"/>
                <w:sz w:val="60"/>
                <w:szCs w:val="60"/>
              </w:rPr>
              <w:t>May 5</w:t>
            </w:r>
          </w:p>
          <w:p>
            <w:pPr>
              <w:pStyle w:val="style157"/>
              <w:spacing w:lineRule="auto" w:line="360"/>
              <w:rPr>
                <w:rFonts w:ascii="Algerian" w:hAnsi="Algerian"/>
                <w:color w:val="5b9bd5"/>
                <w:sz w:val="60"/>
                <w:szCs w:val="60"/>
              </w:rPr>
            </w:pPr>
            <w:r>
              <w:rPr>
                <w:rFonts w:ascii="Algerian" w:hAnsi="Algerian"/>
                <w:color w:val="5b9bd5"/>
                <w:sz w:val="60"/>
                <w:szCs w:val="60"/>
              </w:rPr>
              <w:t>2020</w:t>
            </w:r>
          </w:p>
        </w:tc>
      </w:tr>
      <w:tr>
        <w:tblPrEx/>
        <w:trPr/>
        <w:tc>
          <w:tcPr>
            <w:tcW w:w="7054" w:type="dxa"/>
            <w:gridSpan w:val="2"/>
            <w:tcBorders>
              <w:top w:val="single" w:sz="18" w:space="0" w:color="808080"/>
            </w:tcBorders>
            <w:vAlign w:val="center"/>
          </w:tcPr>
          <w:p>
            <w:pPr>
              <w:pStyle w:val="style0"/>
              <w:spacing w:lineRule="auto" w:line="360"/>
              <w:rPr>
                <w:rFonts w:ascii="Algerian" w:cs="Times New Roman" w:hAnsi="Algerian"/>
                <w:sz w:val="24"/>
                <w:szCs w:val="24"/>
              </w:rPr>
            </w:pPr>
            <w:r>
              <w:rPr>
                <w:rFonts w:ascii="Algerian" w:cs="Times New Roman" w:hAnsi="Algerian"/>
                <w:sz w:val="24"/>
                <w:szCs w:val="24"/>
              </w:rPr>
              <w:t>ASSIGNMENT TITLE: MARRIAGES AND CONFLICT OF LAWS.</w:t>
            </w:r>
          </w:p>
          <w:p>
            <w:pPr>
              <w:pStyle w:val="style0"/>
              <w:spacing w:lineRule="auto" w:line="360"/>
              <w:rPr>
                <w:rFonts w:ascii="Algerian" w:cs="Times New Roman" w:hAnsi="Algerian"/>
                <w:sz w:val="24"/>
                <w:szCs w:val="24"/>
              </w:rPr>
            </w:pPr>
            <w:r>
              <w:rPr>
                <w:rFonts w:ascii="Algerian" w:cs="Times New Roman" w:hAnsi="Algerian"/>
                <w:sz w:val="24"/>
                <w:szCs w:val="24"/>
              </w:rPr>
              <w:t xml:space="preserve">QUESTION: </w:t>
            </w:r>
          </w:p>
          <w:p>
            <w:pPr>
              <w:pStyle w:val="style179"/>
              <w:numPr>
                <w:ilvl w:val="0"/>
                <w:numId w:val="1"/>
              </w:numPr>
              <w:spacing w:lineRule="auto" w:line="360"/>
              <w:rPr>
                <w:rFonts w:ascii="Algerian" w:cs="Times New Roman" w:hAnsi="Algerian"/>
                <w:sz w:val="24"/>
                <w:szCs w:val="24"/>
              </w:rPr>
            </w:pPr>
            <w:r>
              <w:rPr>
                <w:rFonts w:ascii="Algerian" w:cs="Times New Roman" w:hAnsi="Algerian"/>
                <w:sz w:val="24"/>
                <w:szCs w:val="24"/>
              </w:rPr>
              <w:t xml:space="preserve">EXPLAIN THE TERM ‘LIMPING MARRIAGE’. IDENTIFY THE WAYS AT COMMON LAW BY WHICH THE INCIDENCE OF LIMPING MARRIAGE HAVE BEEN REDUCED. </w:t>
            </w:r>
          </w:p>
          <w:p>
            <w:pPr>
              <w:pStyle w:val="style179"/>
              <w:numPr>
                <w:ilvl w:val="0"/>
                <w:numId w:val="1"/>
              </w:numPr>
              <w:spacing w:lineRule="auto" w:line="360"/>
              <w:rPr>
                <w:rFonts w:ascii="Algerian" w:cs="Times New Roman" w:hAnsi="Algerian"/>
                <w:sz w:val="24"/>
                <w:szCs w:val="24"/>
              </w:rPr>
            </w:pPr>
            <w:r>
              <w:rPr>
                <w:rFonts w:ascii="Algerian" w:cs="Times New Roman" w:hAnsi="Algerian"/>
                <w:sz w:val="24"/>
                <w:szCs w:val="24"/>
              </w:rPr>
              <w:t xml:space="preserve">EXPLAIN SUCCINTLY: MUTATION OR CONVERSION OF MARRIAGE IN CONFLICT OF LAWS. </w:t>
            </w:r>
          </w:p>
          <w:p>
            <w:pPr>
              <w:pStyle w:val="style157"/>
              <w:spacing w:lineRule="auto" w:line="360"/>
              <w:rPr>
                <w:sz w:val="24"/>
                <w:szCs w:val="24"/>
              </w:rPr>
            </w:pPr>
          </w:p>
        </w:tc>
        <w:tc>
          <w:tcPr>
            <w:tcW w:w="2738" w:type="dxa"/>
            <w:tcBorders>
              <w:top w:val="single" w:sz="18" w:space="0" w:color="808080"/>
            </w:tcBorders>
            <w:vAlign w:val="center"/>
          </w:tcPr>
          <w:p>
            <w:pPr>
              <w:pStyle w:val="style157"/>
              <w:spacing w:lineRule="auto" w:line="360"/>
              <w:rPr>
                <w:rFonts w:ascii="Algerian" w:cs="宋体" w:eastAsia="宋体" w:hAnsi="Algerian"/>
                <w:sz w:val="24"/>
                <w:szCs w:val="24"/>
              </w:rPr>
            </w:pPr>
            <w:r>
              <w:rPr>
                <w:rFonts w:ascii="Algerian" w:cs="宋体" w:eastAsia="宋体" w:hAnsi="Algerian"/>
                <w:sz w:val="24"/>
                <w:szCs w:val="24"/>
              </w:rPr>
              <w:t xml:space="preserve">LECTURER-IN-CHARGE: </w:t>
            </w:r>
          </w:p>
          <w:p>
            <w:pPr>
              <w:pStyle w:val="style157"/>
              <w:spacing w:lineRule="auto" w:line="360"/>
              <w:rPr>
                <w:rFonts w:ascii="Calibri Light" w:cs="宋体" w:eastAsia="宋体" w:hAnsi="Calibri Light"/>
                <w:sz w:val="24"/>
                <w:szCs w:val="24"/>
              </w:rPr>
            </w:pPr>
            <w:r>
              <w:rPr>
                <w:rFonts w:ascii="Algerian" w:cs="宋体" w:eastAsia="宋体" w:hAnsi="Algerian"/>
                <w:sz w:val="24"/>
                <w:szCs w:val="24"/>
              </w:rPr>
              <w:t>SESAN FABAMISE ESQ</w:t>
            </w:r>
            <w:r>
              <w:rPr>
                <w:rFonts w:ascii="Calibri Light" w:cs="宋体" w:eastAsia="宋体" w:hAnsi="Calibri Light"/>
                <w:sz w:val="24"/>
                <w:szCs w:val="24"/>
              </w:rPr>
              <w:t>.</w:t>
            </w:r>
          </w:p>
        </w:tc>
      </w:tr>
    </w:tbl>
    <w:p>
      <w:pPr>
        <w:pStyle w:val="style0"/>
        <w:spacing w:lineRule="auto" w:line="360"/>
        <w:rPr>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br w:type="page"/>
      </w:r>
    </w:p>
    <w:p>
      <w:pPr>
        <w:pStyle w:val="style0"/>
        <w:spacing w:lineRule="auto" w:line="360"/>
        <w:rPr>
          <w:rFonts w:ascii="Times New Roman" w:cs="Times New Roman" w:hAnsi="Times New Roman"/>
          <w:sz w:val="24"/>
          <w:szCs w:val="24"/>
        </w:rPr>
      </w:pPr>
      <w:r>
        <w:rPr>
          <w:rFonts w:ascii="Algerian" w:cs="Times New Roman" w:hAnsi="Algerian"/>
          <w:sz w:val="36"/>
          <w:szCs w:val="36"/>
        </w:rPr>
        <w:t xml:space="preserve">ANSWER </w:t>
      </w:r>
    </w:p>
    <w:p>
      <w:pPr>
        <w:pStyle w:val="style0"/>
        <w:spacing w:lineRule="auto" w:line="360"/>
        <w:rPr>
          <w:rFonts w:ascii="Times New Roman" w:cs="Times New Roman" w:hAnsi="Times New Roman"/>
          <w:b/>
          <w:sz w:val="32"/>
          <w:szCs w:val="32"/>
        </w:rPr>
      </w:pPr>
      <w:r>
        <w:rPr>
          <w:rFonts w:ascii="Times New Roman" w:cs="Times New Roman" w:hAnsi="Times New Roman"/>
          <w:b/>
          <w:sz w:val="32"/>
          <w:szCs w:val="32"/>
        </w:rPr>
        <w:t>QUESTION 1:</w:t>
      </w:r>
    </w:p>
    <w:p>
      <w:pPr>
        <w:pStyle w:val="style0"/>
        <w:spacing w:lineRule="auto" w:line="360"/>
        <w:rPr>
          <w:rFonts w:ascii="Times New Roman" w:cs="Times New Roman" w:hAnsi="Times New Roman"/>
          <w:b/>
          <w:sz w:val="28"/>
          <w:szCs w:val="28"/>
        </w:rPr>
      </w:pPr>
      <w:r>
        <w:rPr>
          <w:rFonts w:ascii="Times New Roman" w:cs="Times New Roman" w:hAnsi="Times New Roman"/>
          <w:b/>
          <w:sz w:val="28"/>
          <w:szCs w:val="28"/>
        </w:rPr>
        <w:t>LIMPING MARRIAGES</w:t>
      </w:r>
    </w:p>
    <w:p>
      <w:pPr>
        <w:pStyle w:val="style0"/>
        <w:autoSpaceDE w:val="false"/>
        <w:autoSpaceDN w:val="false"/>
        <w:adjustRightInd w:val="false"/>
        <w:spacing w:after="0" w:lineRule="auto" w:line="360"/>
        <w:ind w:firstLine="720"/>
        <w:jc w:val="both"/>
        <w:rPr>
          <w:rFonts w:ascii="Times New Roman" w:cs="Times New Roman" w:hAnsi="Times New Roman"/>
          <w:sz w:val="24"/>
          <w:szCs w:val="24"/>
        </w:rPr>
      </w:pPr>
      <w:r>
        <w:rPr>
          <w:rFonts w:ascii="Times New Roman" w:cs="Times New Roman" w:hAnsi="Times New Roman"/>
          <w:b/>
          <w:sz w:val="24"/>
          <w:szCs w:val="24"/>
        </w:rPr>
        <w:t>Limping marriages</w:t>
      </w:r>
      <w:r>
        <w:rPr>
          <w:rFonts w:ascii="Times New Roman" w:cs="Times New Roman" w:hAnsi="Times New Roman"/>
          <w:sz w:val="24"/>
          <w:szCs w:val="24"/>
        </w:rPr>
        <w:t xml:space="preserve"> refers to the marital status of people considered as</w:t>
      </w:r>
      <w:r>
        <w:rPr>
          <w:rFonts w:ascii="Times New Roman" w:cs="Times New Roman" w:hAnsi="Times New Roman"/>
          <w:sz w:val="24"/>
          <w:szCs w:val="24"/>
        </w:rPr>
        <w:t xml:space="preserve"> </w:t>
      </w:r>
      <w:r>
        <w:rPr>
          <w:rFonts w:ascii="Times New Roman" w:cs="Times New Roman" w:hAnsi="Times New Roman"/>
          <w:sz w:val="24"/>
          <w:szCs w:val="24"/>
        </w:rPr>
        <w:t>married under the law of one state or country while under the law of</w:t>
      </w:r>
      <w:r>
        <w:rPr>
          <w:rFonts w:ascii="Times New Roman" w:cs="Times New Roman" w:hAnsi="Times New Roman"/>
          <w:sz w:val="24"/>
          <w:szCs w:val="24"/>
        </w:rPr>
        <w:t xml:space="preserve"> </w:t>
      </w:r>
      <w:r>
        <w:rPr>
          <w:rFonts w:ascii="Times New Roman" w:cs="Times New Roman" w:hAnsi="Times New Roman"/>
          <w:sz w:val="24"/>
          <w:szCs w:val="24"/>
        </w:rPr>
        <w:t>another state</w:t>
      </w:r>
      <w:r>
        <w:rPr>
          <w:rFonts w:ascii="Times New Roman" w:cs="Times New Roman" w:hAnsi="Times New Roman"/>
          <w:sz w:val="24"/>
          <w:szCs w:val="24"/>
        </w:rPr>
        <w:t xml:space="preserve"> such marriage is unrecognized, </w:t>
      </w:r>
      <w:r>
        <w:rPr>
          <w:rFonts w:ascii="Times New Roman" w:cs="Times New Roman" w:hAnsi="Times New Roman"/>
          <w:sz w:val="24"/>
          <w:szCs w:val="24"/>
        </w:rPr>
        <w:t>considered inexistent and</w:t>
      </w:r>
      <w:r>
        <w:rPr>
          <w:rFonts w:ascii="Times New Roman" w:cs="Times New Roman" w:hAnsi="Times New Roman"/>
          <w:sz w:val="24"/>
          <w:szCs w:val="24"/>
        </w:rPr>
        <w:t xml:space="preserve"> </w:t>
      </w:r>
      <w:r>
        <w:rPr>
          <w:rFonts w:ascii="Times New Roman" w:cs="Times New Roman" w:hAnsi="Times New Roman"/>
          <w:sz w:val="24"/>
          <w:szCs w:val="24"/>
        </w:rPr>
        <w:t xml:space="preserve">not binding. </w:t>
      </w:r>
      <w:r>
        <w:rPr>
          <w:rFonts w:ascii="Times New Roman" w:cs="Times New Roman" w:hAnsi="Times New Roman"/>
          <w:sz w:val="24"/>
          <w:szCs w:val="24"/>
        </w:rPr>
        <w:t>It may also be referred to as a</w:t>
      </w:r>
      <w:r>
        <w:rPr>
          <w:rFonts w:ascii="Times New Roman" w:cs="Times New Roman" w:hAnsi="Times New Roman"/>
          <w:sz w:val="24"/>
          <w:szCs w:val="24"/>
        </w:rPr>
        <w:t xml:space="preserve"> situation where the Nigerian court does not recognise the decree of annulment or</w:t>
      </w:r>
      <w:r>
        <w:rPr>
          <w:rFonts w:ascii="Times New Roman" w:cs="Times New Roman" w:hAnsi="Times New Roman"/>
          <w:sz w:val="24"/>
          <w:szCs w:val="24"/>
        </w:rPr>
        <w:t xml:space="preserve"> dissolution, whereas it is recognised in the foreign country where it was granted.</w:t>
      </w:r>
      <w:r>
        <w:rPr>
          <w:rFonts w:ascii="Times New Roman" w:cs="Times New Roman" w:hAnsi="Times New Roman"/>
          <w:sz w:val="24"/>
          <w:szCs w:val="24"/>
        </w:rPr>
        <w:t xml:space="preserve"> </w:t>
      </w:r>
      <w:r>
        <w:rPr>
          <w:rFonts w:ascii="Times New Roman" w:cs="Times New Roman" w:hAnsi="Times New Roman"/>
          <w:sz w:val="24"/>
          <w:szCs w:val="24"/>
        </w:rPr>
        <w:t xml:space="preserve">This phenomenon has been described as “the scandal which arises when a man and a woman </w:t>
      </w:r>
      <w:r>
        <w:rPr>
          <w:rFonts w:ascii="Times New Roman" w:cs="Times New Roman" w:hAnsi="Times New Roman"/>
          <w:sz w:val="24"/>
          <w:szCs w:val="24"/>
        </w:rPr>
        <w:t xml:space="preserve">are held to be man and wife in one country and strangers </w:t>
      </w:r>
      <w:r>
        <w:rPr>
          <w:rFonts w:ascii="Times New Roman" w:cs="Times New Roman" w:hAnsi="Times New Roman"/>
          <w:sz w:val="24"/>
          <w:szCs w:val="24"/>
        </w:rPr>
        <w:t>in another.”</w:t>
      </w:r>
      <w:r>
        <w:rPr>
          <w:rStyle w:val="style38"/>
          <w:rFonts w:ascii="Times New Roman" w:cs="Times New Roman" w:hAnsi="Times New Roman"/>
          <w:sz w:val="24"/>
          <w:szCs w:val="24"/>
        </w:rPr>
        <w:footnoteReference w:id="1"/>
      </w:r>
      <w:r>
        <w:rPr>
          <w:rFonts w:ascii="Times New Roman" w:cs="Times New Roman" w:hAnsi="Times New Roman"/>
          <w:sz w:val="24"/>
          <w:szCs w:val="24"/>
        </w:rPr>
        <w:t xml:space="preserve"> </w:t>
      </w:r>
      <w:r>
        <w:rPr>
          <w:rFonts w:ascii="Times New Roman" w:cs="Times New Roman" w:hAnsi="Times New Roman"/>
          <w:sz w:val="24"/>
          <w:szCs w:val="24"/>
        </w:rPr>
        <w:t xml:space="preserve">In </w:t>
      </w:r>
      <w:r>
        <w:rPr>
          <w:rFonts w:ascii="Times New Roman" w:cs="Times New Roman" w:hAnsi="Times New Roman"/>
          <w:i/>
          <w:iCs/>
          <w:sz w:val="24"/>
          <w:szCs w:val="24"/>
        </w:rPr>
        <w:t>Padolechia v Padolechia</w:t>
      </w:r>
      <w:r>
        <w:rPr>
          <w:rStyle w:val="style38"/>
          <w:rFonts w:ascii="Times New Roman" w:cs="Times New Roman" w:hAnsi="Times New Roman"/>
          <w:i/>
          <w:iCs/>
          <w:sz w:val="24"/>
          <w:szCs w:val="24"/>
        </w:rPr>
        <w:footnoteReference w:id="2"/>
      </w:r>
      <w:r>
        <w:rPr>
          <w:rFonts w:ascii="Times New Roman" w:cs="Times New Roman" w:hAnsi="Times New Roman"/>
          <w:iCs/>
          <w:sz w:val="24"/>
          <w:szCs w:val="24"/>
        </w:rPr>
        <w:t xml:space="preserve">, </w:t>
      </w:r>
      <w:r>
        <w:rPr>
          <w:rFonts w:ascii="Times New Roman" w:cs="Times New Roman" w:hAnsi="Times New Roman"/>
          <w:sz w:val="24"/>
          <w:szCs w:val="24"/>
        </w:rPr>
        <w:t>the husband was domiciled in and married in</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Italy in 1943 but subsequently obtained a divorce in Mexico and</w:t>
      </w:r>
      <w:r>
        <w:rPr>
          <w:rFonts w:ascii="Times New Roman" w:cs="Times New Roman" w:hAnsi="Times New Roman"/>
          <w:sz w:val="24"/>
          <w:szCs w:val="24"/>
        </w:rPr>
        <w:t xml:space="preserve"> </w:t>
      </w:r>
      <w:r>
        <w:rPr>
          <w:rFonts w:ascii="Times New Roman" w:cs="Times New Roman" w:hAnsi="Times New Roman"/>
          <w:sz w:val="24"/>
          <w:szCs w:val="24"/>
        </w:rPr>
        <w:t>contracted another marriage in England. In a petition to annul the</w:t>
      </w:r>
      <w:r>
        <w:rPr>
          <w:rFonts w:ascii="Times New Roman" w:cs="Times New Roman" w:hAnsi="Times New Roman"/>
          <w:sz w:val="24"/>
          <w:szCs w:val="24"/>
        </w:rPr>
        <w:t xml:space="preserve"> </w:t>
      </w:r>
      <w:r>
        <w:rPr>
          <w:rFonts w:ascii="Times New Roman" w:cs="Times New Roman" w:hAnsi="Times New Roman"/>
          <w:sz w:val="24"/>
          <w:szCs w:val="24"/>
        </w:rPr>
        <w:t>marria</w:t>
      </w:r>
      <w:r>
        <w:rPr>
          <w:rFonts w:ascii="Times New Roman" w:cs="Times New Roman" w:hAnsi="Times New Roman"/>
          <w:sz w:val="24"/>
          <w:szCs w:val="24"/>
        </w:rPr>
        <w:t xml:space="preserve">ge on the ground that the first </w:t>
      </w:r>
      <w:r>
        <w:rPr>
          <w:rFonts w:ascii="Times New Roman" w:cs="Times New Roman" w:hAnsi="Times New Roman"/>
          <w:sz w:val="24"/>
          <w:szCs w:val="24"/>
        </w:rPr>
        <w:t>marriage was valid and subsisting,</w:t>
      </w:r>
      <w:r>
        <w:rPr>
          <w:rFonts w:ascii="Times New Roman" w:cs="Times New Roman" w:hAnsi="Times New Roman"/>
          <w:sz w:val="24"/>
          <w:szCs w:val="24"/>
        </w:rPr>
        <w:t xml:space="preserve"> </w:t>
      </w:r>
      <w:r>
        <w:rPr>
          <w:rFonts w:ascii="Times New Roman" w:cs="Times New Roman" w:hAnsi="Times New Roman"/>
          <w:sz w:val="24"/>
          <w:szCs w:val="24"/>
        </w:rPr>
        <w:t>the court up held the submission.</w:t>
      </w:r>
      <w:r>
        <w:rPr>
          <w:rFonts w:ascii="Times New Roman" w:cs="Times New Roman" w:hAnsi="Times New Roman"/>
          <w:sz w:val="24"/>
          <w:szCs w:val="24"/>
        </w:rPr>
        <w:t xml:space="preserve"> </w:t>
      </w:r>
    </w:p>
    <w:p>
      <w:pPr>
        <w:pStyle w:val="style0"/>
        <w:autoSpaceDE w:val="false"/>
        <w:autoSpaceDN w:val="false"/>
        <w:adjustRightInd w:val="false"/>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In situations where it </w:t>
      </w:r>
      <w:r>
        <w:rPr>
          <w:rFonts w:ascii="Times New Roman" w:cs="Times New Roman" w:hAnsi="Times New Roman"/>
          <w:sz w:val="24"/>
          <w:szCs w:val="24"/>
        </w:rPr>
        <w:t>will be unjust and inappropriate for the decree to</w:t>
      </w:r>
      <w:r>
        <w:rPr>
          <w:rFonts w:ascii="Times New Roman" w:cs="Times New Roman" w:hAnsi="Times New Roman"/>
          <w:sz w:val="24"/>
          <w:szCs w:val="24"/>
        </w:rPr>
        <w:t xml:space="preserve"> </w:t>
      </w:r>
      <w:r>
        <w:rPr>
          <w:rFonts w:ascii="Times New Roman" w:cs="Times New Roman" w:hAnsi="Times New Roman"/>
          <w:sz w:val="24"/>
          <w:szCs w:val="24"/>
        </w:rPr>
        <w:t>be binding</w:t>
      </w:r>
      <w:r>
        <w:rPr>
          <w:rFonts w:ascii="Times New Roman" w:cs="Times New Roman" w:hAnsi="Times New Roman"/>
          <w:sz w:val="24"/>
          <w:szCs w:val="24"/>
        </w:rPr>
        <w:t xml:space="preserve"> extra territorially, a limping </w:t>
      </w:r>
      <w:r>
        <w:rPr>
          <w:rFonts w:ascii="Times New Roman" w:cs="Times New Roman" w:hAnsi="Times New Roman"/>
          <w:sz w:val="24"/>
          <w:szCs w:val="24"/>
        </w:rPr>
        <w:t>marriage will be created.</w:t>
      </w:r>
      <w:r>
        <w:rPr>
          <w:rFonts w:ascii="Times New Roman" w:cs="Times New Roman" w:hAnsi="Times New Roman"/>
          <w:sz w:val="24"/>
          <w:szCs w:val="24"/>
        </w:rPr>
        <w:t xml:space="preserve"> </w:t>
      </w:r>
      <w:r>
        <w:rPr>
          <w:rFonts w:ascii="Times New Roman" w:cs="Times New Roman" w:hAnsi="Times New Roman"/>
          <w:iCs/>
          <w:sz w:val="24"/>
          <w:szCs w:val="24"/>
        </w:rPr>
        <w:t>In</w:t>
      </w:r>
      <w:r>
        <w:rPr>
          <w:rFonts w:ascii="Times New Roman" w:cs="Times New Roman" w:hAnsi="Times New Roman"/>
          <w:i/>
          <w:iCs/>
          <w:sz w:val="24"/>
          <w:szCs w:val="24"/>
        </w:rPr>
        <w:t xml:space="preserve"> Kend</w:t>
      </w:r>
      <w:r>
        <w:rPr>
          <w:rFonts w:ascii="Times New Roman" w:cs="Times New Roman" w:hAnsi="Times New Roman"/>
          <w:i/>
          <w:iCs/>
          <w:sz w:val="24"/>
          <w:szCs w:val="24"/>
        </w:rPr>
        <w:t>all v Kendall</w:t>
      </w:r>
      <w:r>
        <w:rPr>
          <w:rStyle w:val="style38"/>
          <w:rFonts w:ascii="Times New Roman" w:cs="Times New Roman" w:hAnsi="Times New Roman"/>
          <w:i/>
          <w:iCs/>
          <w:sz w:val="24"/>
          <w:szCs w:val="24"/>
        </w:rPr>
        <w:footnoteReference w:id="3"/>
      </w:r>
      <w:r>
        <w:rPr>
          <w:rFonts w:ascii="Times New Roman" w:cs="Times New Roman" w:hAnsi="Times New Roman"/>
          <w:iCs/>
          <w:sz w:val="24"/>
          <w:szCs w:val="24"/>
        </w:rPr>
        <w:t xml:space="preserve">, </w:t>
      </w:r>
      <w:r>
        <w:rPr>
          <w:rFonts w:ascii="Times New Roman" w:cs="Times New Roman" w:hAnsi="Times New Roman"/>
          <w:sz w:val="24"/>
          <w:szCs w:val="24"/>
        </w:rPr>
        <w:t>t</w:t>
      </w:r>
      <w:r>
        <w:rPr>
          <w:rFonts w:ascii="Times New Roman" w:cs="Times New Roman" w:hAnsi="Times New Roman"/>
          <w:sz w:val="24"/>
          <w:szCs w:val="24"/>
        </w:rPr>
        <w:t>he husband</w:t>
      </w:r>
      <w:r>
        <w:rPr>
          <w:rFonts w:ascii="Times New Roman" w:cs="Times New Roman" w:hAnsi="Times New Roman"/>
          <w:sz w:val="24"/>
          <w:szCs w:val="24"/>
        </w:rPr>
        <w:t xml:space="preserve">’s lawyers deceived the wife </w:t>
      </w:r>
      <w:r>
        <w:rPr>
          <w:rFonts w:ascii="Times New Roman" w:cs="Times New Roman" w:hAnsi="Times New Roman"/>
          <w:sz w:val="24"/>
          <w:szCs w:val="24"/>
        </w:rPr>
        <w:t>into applying for a divorce</w:t>
      </w:r>
      <w:r>
        <w:rPr>
          <w:rFonts w:ascii="Times New Roman" w:cs="Times New Roman" w:hAnsi="Times New Roman"/>
          <w:sz w:val="24"/>
          <w:szCs w:val="24"/>
        </w:rPr>
        <w:t xml:space="preserve"> </w:t>
      </w:r>
      <w:r>
        <w:rPr>
          <w:rFonts w:ascii="Times New Roman" w:cs="Times New Roman" w:hAnsi="Times New Roman"/>
          <w:sz w:val="24"/>
          <w:szCs w:val="24"/>
        </w:rPr>
        <w:t>which she was not desirous o</w:t>
      </w:r>
      <w:r>
        <w:rPr>
          <w:rFonts w:ascii="Times New Roman" w:cs="Times New Roman" w:hAnsi="Times New Roman"/>
          <w:sz w:val="24"/>
          <w:szCs w:val="24"/>
        </w:rPr>
        <w:t xml:space="preserve">f obtaining. The processes were </w:t>
      </w:r>
      <w:r>
        <w:rPr>
          <w:rFonts w:ascii="Times New Roman" w:cs="Times New Roman" w:hAnsi="Times New Roman"/>
          <w:sz w:val="24"/>
          <w:szCs w:val="24"/>
        </w:rPr>
        <w:t>filed in a</w:t>
      </w:r>
      <w:r>
        <w:rPr>
          <w:rFonts w:ascii="Times New Roman" w:cs="Times New Roman" w:hAnsi="Times New Roman"/>
          <w:sz w:val="24"/>
          <w:szCs w:val="24"/>
        </w:rPr>
        <w:t xml:space="preserve"> </w:t>
      </w:r>
      <w:r>
        <w:rPr>
          <w:rFonts w:ascii="Times New Roman" w:cs="Times New Roman" w:hAnsi="Times New Roman"/>
          <w:sz w:val="24"/>
          <w:szCs w:val="24"/>
        </w:rPr>
        <w:t>language she did not understand. The recognition was withheld in</w:t>
      </w:r>
      <w:r>
        <w:rPr>
          <w:rFonts w:ascii="Times New Roman" w:cs="Times New Roman" w:hAnsi="Times New Roman"/>
          <w:sz w:val="24"/>
          <w:szCs w:val="24"/>
        </w:rPr>
        <w:t xml:space="preserve"> </w:t>
      </w:r>
      <w:r>
        <w:rPr>
          <w:rFonts w:ascii="Times New Roman" w:cs="Times New Roman" w:hAnsi="Times New Roman"/>
          <w:sz w:val="24"/>
          <w:szCs w:val="24"/>
        </w:rPr>
        <w:t>England on grounds of public policy.</w:t>
      </w:r>
    </w:p>
    <w:p>
      <w:pPr>
        <w:pStyle w:val="style0"/>
        <w:autoSpaceDE w:val="false"/>
        <w:autoSpaceDN w:val="false"/>
        <w:adjustRightInd w:val="false"/>
        <w:spacing w:after="0" w:lineRule="auto" w:line="360"/>
        <w:jc w:val="both"/>
        <w:rPr>
          <w:rFonts w:ascii="Times New Roman" w:cs="Times New Roman" w:hAnsi="Times New Roman"/>
          <w:sz w:val="24"/>
          <w:szCs w:val="24"/>
        </w:rPr>
      </w:pPr>
    </w:p>
    <w:p>
      <w:pPr>
        <w:pStyle w:val="style0"/>
        <w:autoSpaceDE w:val="false"/>
        <w:autoSpaceDN w:val="false"/>
        <w:adjustRightInd w:val="false"/>
        <w:spacing w:after="0"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WAYS AT COMMON LAW BY WHICH THE INCIDENCE OF LIMPING MARRIAES HAVE BEEN REDUCED. </w:t>
      </w: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In order to avoid this problem (of limping marriages), the House of Lords in the case of </w:t>
      </w:r>
      <w:r>
        <w:rPr>
          <w:rFonts w:ascii="Times New Roman" w:cs="Times New Roman" w:hAnsi="Times New Roman"/>
          <w:i/>
          <w:sz w:val="24"/>
          <w:szCs w:val="24"/>
        </w:rPr>
        <w:t>Indyka v Indyka,</w:t>
      </w:r>
      <w:r>
        <w:rPr>
          <w:rStyle w:val="style38"/>
          <w:rFonts w:ascii="Times New Roman" w:cs="Times New Roman" w:hAnsi="Times New Roman"/>
          <w:i/>
          <w:sz w:val="24"/>
          <w:szCs w:val="24"/>
        </w:rPr>
        <w:footnoteReference w:id="4"/>
      </w:r>
      <w:r>
        <w:rPr>
          <w:rFonts w:ascii="Times New Roman" w:cs="Times New Roman" w:hAnsi="Times New Roman"/>
          <w:sz w:val="24"/>
          <w:szCs w:val="24"/>
        </w:rPr>
        <w:t xml:space="preserve"> came up with the test of </w:t>
      </w:r>
      <w:r>
        <w:rPr>
          <w:rFonts w:ascii="Times New Roman" w:cs="Times New Roman" w:hAnsi="Times New Roman"/>
          <w:b/>
          <w:sz w:val="24"/>
          <w:szCs w:val="24"/>
        </w:rPr>
        <w:t>‘real and substantial connection’</w:t>
      </w:r>
      <w:r>
        <w:rPr>
          <w:rFonts w:ascii="Times New Roman" w:cs="Times New Roman" w:hAnsi="Times New Roman"/>
          <w:sz w:val="24"/>
          <w:szCs w:val="24"/>
        </w:rPr>
        <w:t xml:space="preserve">.  In this case, it was stated that an English court should recognise a divorce decree granted in a foreign country where there was a real and substantial </w:t>
      </w:r>
      <w:r>
        <w:rPr>
          <w:rFonts w:ascii="Times New Roman" w:cs="Times New Roman" w:hAnsi="Times New Roman"/>
          <w:sz w:val="24"/>
          <w:szCs w:val="24"/>
        </w:rPr>
        <w:t xml:space="preserve">connection between the petitioner for the divorce and the country exercising the jurisdiction. As such, for a foreign decree to be recognised, the parties </w:t>
      </w:r>
      <w:r>
        <w:rPr>
          <w:rFonts w:ascii="Times New Roman" w:cs="Times New Roman" w:hAnsi="Times New Roman"/>
          <w:sz w:val="24"/>
          <w:szCs w:val="24"/>
        </w:rPr>
        <w:t>are</w:t>
      </w:r>
      <w:r>
        <w:rPr>
          <w:rFonts w:ascii="Times New Roman" w:cs="Times New Roman" w:hAnsi="Times New Roman"/>
          <w:sz w:val="24"/>
          <w:szCs w:val="24"/>
        </w:rPr>
        <w:t xml:space="preserve"> </w:t>
      </w:r>
      <w:r>
        <w:rPr>
          <w:rFonts w:ascii="Times New Roman" w:cs="Times New Roman" w:hAnsi="Times New Roman"/>
          <w:sz w:val="24"/>
          <w:szCs w:val="24"/>
        </w:rPr>
        <w:t xml:space="preserve">only required to show a </w:t>
      </w:r>
      <w:r>
        <w:rPr>
          <w:rFonts w:ascii="Times New Roman" w:cs="Times New Roman" w:hAnsi="Times New Roman"/>
          <w:b/>
          <w:sz w:val="24"/>
          <w:szCs w:val="24"/>
        </w:rPr>
        <w:t>‘real and substantial connection’</w:t>
      </w:r>
      <w:r>
        <w:rPr>
          <w:rFonts w:ascii="Times New Roman" w:cs="Times New Roman" w:hAnsi="Times New Roman"/>
          <w:sz w:val="24"/>
          <w:szCs w:val="24"/>
        </w:rPr>
        <w:t xml:space="preserve"> with the foreign country in question and t</w:t>
      </w:r>
      <w:r>
        <w:rPr>
          <w:rFonts w:ascii="Times New Roman" w:cs="Times New Roman" w:hAnsi="Times New Roman"/>
          <w:sz w:val="24"/>
          <w:szCs w:val="24"/>
        </w:rPr>
        <w:t>he strict rules on domicile would be</w:t>
      </w:r>
      <w:r>
        <w:rPr>
          <w:rFonts w:ascii="Times New Roman" w:cs="Times New Roman" w:hAnsi="Times New Roman"/>
          <w:sz w:val="24"/>
          <w:szCs w:val="24"/>
        </w:rPr>
        <w:t xml:space="preserve"> relaxed. </w:t>
      </w:r>
    </w:p>
    <w:p>
      <w:pPr>
        <w:pStyle w:val="style0"/>
        <w:autoSpaceDE w:val="false"/>
        <w:autoSpaceDN w:val="false"/>
        <w:adjustRightInd w:val="false"/>
        <w:spacing w:after="0" w:lineRule="auto" w:line="360"/>
        <w:jc w:val="both"/>
        <w:rPr>
          <w:rFonts w:ascii="Times New Roman" w:cs="Times New Roman" w:hAnsi="Times New Roman"/>
          <w:sz w:val="24"/>
          <w:szCs w:val="24"/>
        </w:rPr>
      </w:pPr>
    </w:p>
    <w:p>
      <w:pPr>
        <w:pStyle w:val="style0"/>
        <w:autoSpaceDE w:val="false"/>
        <w:autoSpaceDN w:val="false"/>
        <w:adjustRightInd w:val="false"/>
        <w:spacing w:after="0" w:lineRule="auto" w:line="360"/>
        <w:jc w:val="both"/>
        <w:rPr>
          <w:rFonts w:ascii="Times New Roman" w:cs="Times New Roman" w:hAnsi="Times New Roman"/>
          <w:sz w:val="24"/>
          <w:szCs w:val="24"/>
        </w:rPr>
      </w:pPr>
    </w:p>
    <w:p>
      <w:pPr>
        <w:pStyle w:val="style0"/>
        <w:autoSpaceDE w:val="false"/>
        <w:autoSpaceDN w:val="false"/>
        <w:adjustRightInd w:val="false"/>
        <w:spacing w:after="0" w:lineRule="auto" w:line="360"/>
        <w:jc w:val="both"/>
        <w:rPr>
          <w:rFonts w:ascii="Algerian" w:cs="Times New Roman" w:hAnsi="Algerian"/>
          <w:sz w:val="36"/>
          <w:szCs w:val="36"/>
        </w:rPr>
      </w:pPr>
    </w:p>
    <w:p>
      <w:pPr>
        <w:pStyle w:val="style0"/>
        <w:autoSpaceDE w:val="false"/>
        <w:autoSpaceDN w:val="false"/>
        <w:adjustRightInd w:val="false"/>
        <w:spacing w:after="0" w:lineRule="auto" w:line="360"/>
        <w:jc w:val="both"/>
        <w:rPr>
          <w:rFonts w:ascii="Algerian" w:cs="Times New Roman" w:hAnsi="Algerian"/>
          <w:sz w:val="36"/>
          <w:szCs w:val="36"/>
        </w:rPr>
      </w:pPr>
    </w:p>
    <w:p>
      <w:pPr>
        <w:pStyle w:val="style0"/>
        <w:autoSpaceDE w:val="false"/>
        <w:autoSpaceDN w:val="false"/>
        <w:adjustRightInd w:val="false"/>
        <w:spacing w:after="0" w:lineRule="auto" w:line="360"/>
        <w:jc w:val="both"/>
        <w:rPr>
          <w:rFonts w:ascii="Times New Roman" w:cs="Times New Roman" w:hAnsi="Times New Roman"/>
          <w:b/>
          <w:sz w:val="36"/>
          <w:szCs w:val="36"/>
        </w:rPr>
      </w:pPr>
    </w:p>
    <w:p>
      <w:pPr>
        <w:pStyle w:val="style0"/>
        <w:autoSpaceDE w:val="false"/>
        <w:autoSpaceDN w:val="false"/>
        <w:adjustRightInd w:val="false"/>
        <w:spacing w:after="0" w:lineRule="auto" w:line="360"/>
        <w:jc w:val="both"/>
        <w:rPr>
          <w:rFonts w:ascii="Times New Roman" w:cs="Times New Roman" w:hAnsi="Times New Roman"/>
          <w:b/>
          <w:sz w:val="36"/>
          <w:szCs w:val="36"/>
        </w:rPr>
      </w:pPr>
    </w:p>
    <w:p>
      <w:pPr>
        <w:pStyle w:val="style0"/>
        <w:autoSpaceDE w:val="false"/>
        <w:autoSpaceDN w:val="false"/>
        <w:adjustRightInd w:val="false"/>
        <w:spacing w:after="0" w:lineRule="auto" w:line="360"/>
        <w:jc w:val="both"/>
        <w:rPr>
          <w:rFonts w:ascii="Times New Roman" w:cs="Times New Roman" w:hAnsi="Times New Roman"/>
          <w:sz w:val="36"/>
          <w:szCs w:val="36"/>
        </w:rPr>
      </w:pPr>
    </w:p>
    <w:p>
      <w:pPr>
        <w:pStyle w:val="style0"/>
        <w:autoSpaceDE w:val="false"/>
        <w:autoSpaceDN w:val="false"/>
        <w:adjustRightInd w:val="false"/>
        <w:spacing w:after="0" w:lineRule="auto" w:line="360"/>
        <w:jc w:val="both"/>
        <w:rPr>
          <w:rFonts w:ascii="Times New Roman" w:cs="Times New Roman" w:hAnsi="Times New Roman"/>
          <w:b/>
          <w:sz w:val="32"/>
          <w:szCs w:val="32"/>
        </w:rPr>
      </w:pPr>
    </w:p>
    <w:p>
      <w:pPr>
        <w:pStyle w:val="style0"/>
        <w:autoSpaceDE w:val="false"/>
        <w:autoSpaceDN w:val="false"/>
        <w:adjustRightInd w:val="false"/>
        <w:spacing w:after="0" w:lineRule="auto" w:line="360"/>
        <w:jc w:val="both"/>
        <w:rPr>
          <w:rFonts w:ascii="Times New Roman" w:cs="Times New Roman" w:hAnsi="Times New Roman"/>
          <w:b/>
          <w:sz w:val="32"/>
          <w:szCs w:val="32"/>
        </w:rPr>
      </w:pPr>
    </w:p>
    <w:p>
      <w:pPr>
        <w:pStyle w:val="style0"/>
        <w:autoSpaceDE w:val="false"/>
        <w:autoSpaceDN w:val="false"/>
        <w:adjustRightInd w:val="false"/>
        <w:spacing w:after="0" w:lineRule="auto" w:line="360"/>
        <w:jc w:val="both"/>
        <w:rPr>
          <w:rFonts w:ascii="Times New Roman" w:cs="Times New Roman" w:hAnsi="Times New Roman"/>
          <w:b/>
          <w:sz w:val="32"/>
          <w:szCs w:val="32"/>
        </w:rPr>
      </w:pPr>
    </w:p>
    <w:p>
      <w:pPr>
        <w:pStyle w:val="style0"/>
        <w:autoSpaceDE w:val="false"/>
        <w:autoSpaceDN w:val="false"/>
        <w:adjustRightInd w:val="false"/>
        <w:spacing w:after="0" w:lineRule="auto" w:line="360"/>
        <w:jc w:val="both"/>
        <w:rPr>
          <w:rFonts w:ascii="Times New Roman" w:cs="Times New Roman" w:hAnsi="Times New Roman"/>
          <w:b/>
          <w:sz w:val="32"/>
          <w:szCs w:val="32"/>
        </w:rPr>
      </w:pPr>
    </w:p>
    <w:p>
      <w:pPr>
        <w:pStyle w:val="style0"/>
        <w:autoSpaceDE w:val="false"/>
        <w:autoSpaceDN w:val="false"/>
        <w:adjustRightInd w:val="false"/>
        <w:spacing w:after="0" w:lineRule="auto" w:line="360"/>
        <w:jc w:val="both"/>
        <w:rPr>
          <w:rFonts w:ascii="Times New Roman" w:cs="Times New Roman" w:hAnsi="Times New Roman"/>
          <w:b/>
          <w:sz w:val="32"/>
          <w:szCs w:val="32"/>
        </w:rPr>
      </w:pPr>
    </w:p>
    <w:p>
      <w:pPr>
        <w:pStyle w:val="style0"/>
        <w:autoSpaceDE w:val="false"/>
        <w:autoSpaceDN w:val="false"/>
        <w:adjustRightInd w:val="false"/>
        <w:spacing w:after="0" w:lineRule="auto" w:line="360"/>
        <w:jc w:val="both"/>
        <w:rPr>
          <w:rFonts w:ascii="Times New Roman" w:cs="Times New Roman" w:hAnsi="Times New Roman"/>
          <w:b/>
          <w:sz w:val="32"/>
          <w:szCs w:val="32"/>
        </w:rPr>
      </w:pPr>
    </w:p>
    <w:p>
      <w:pPr>
        <w:pStyle w:val="style0"/>
        <w:autoSpaceDE w:val="false"/>
        <w:autoSpaceDN w:val="false"/>
        <w:adjustRightInd w:val="false"/>
        <w:spacing w:after="0" w:lineRule="auto" w:line="360"/>
        <w:jc w:val="both"/>
        <w:rPr>
          <w:rFonts w:ascii="Times New Roman" w:cs="Times New Roman" w:hAnsi="Times New Roman"/>
          <w:b/>
          <w:sz w:val="32"/>
          <w:szCs w:val="32"/>
        </w:rPr>
      </w:pPr>
    </w:p>
    <w:p>
      <w:pPr>
        <w:pStyle w:val="style0"/>
        <w:autoSpaceDE w:val="false"/>
        <w:autoSpaceDN w:val="false"/>
        <w:adjustRightInd w:val="false"/>
        <w:spacing w:after="0" w:lineRule="auto" w:line="360"/>
        <w:jc w:val="both"/>
        <w:rPr>
          <w:rFonts w:ascii="Times New Roman" w:cs="Times New Roman" w:hAnsi="Times New Roman"/>
          <w:b/>
          <w:sz w:val="32"/>
          <w:szCs w:val="32"/>
        </w:rPr>
      </w:pPr>
    </w:p>
    <w:p>
      <w:pPr>
        <w:pStyle w:val="style0"/>
        <w:autoSpaceDE w:val="false"/>
        <w:autoSpaceDN w:val="false"/>
        <w:adjustRightInd w:val="false"/>
        <w:spacing w:after="0" w:lineRule="auto" w:line="360"/>
        <w:jc w:val="both"/>
        <w:rPr>
          <w:rFonts w:ascii="Times New Roman" w:cs="Times New Roman" w:hAnsi="Times New Roman"/>
          <w:b/>
          <w:sz w:val="32"/>
          <w:szCs w:val="32"/>
        </w:rPr>
      </w:pPr>
    </w:p>
    <w:p>
      <w:pPr>
        <w:pStyle w:val="style0"/>
        <w:autoSpaceDE w:val="false"/>
        <w:autoSpaceDN w:val="false"/>
        <w:adjustRightInd w:val="false"/>
        <w:spacing w:after="0" w:lineRule="auto" w:line="360"/>
        <w:jc w:val="both"/>
        <w:rPr>
          <w:rFonts w:ascii="Times New Roman" w:cs="Times New Roman" w:hAnsi="Times New Roman"/>
          <w:b/>
          <w:sz w:val="32"/>
          <w:szCs w:val="32"/>
        </w:rPr>
      </w:pPr>
    </w:p>
    <w:p>
      <w:pPr>
        <w:pStyle w:val="style0"/>
        <w:autoSpaceDE w:val="false"/>
        <w:autoSpaceDN w:val="false"/>
        <w:adjustRightInd w:val="false"/>
        <w:spacing w:after="0" w:lineRule="auto" w:line="360"/>
        <w:jc w:val="both"/>
        <w:rPr>
          <w:rFonts w:ascii="Times New Roman" w:cs="Times New Roman" w:hAnsi="Times New Roman"/>
          <w:b/>
          <w:sz w:val="32"/>
          <w:szCs w:val="32"/>
        </w:rPr>
      </w:pPr>
    </w:p>
    <w:p>
      <w:pPr>
        <w:pStyle w:val="style0"/>
        <w:autoSpaceDE w:val="false"/>
        <w:autoSpaceDN w:val="false"/>
        <w:adjustRightInd w:val="false"/>
        <w:spacing w:after="0" w:lineRule="auto" w:line="360"/>
        <w:jc w:val="both"/>
        <w:rPr>
          <w:rFonts w:ascii="Times New Roman" w:cs="Times New Roman" w:hAnsi="Times New Roman"/>
          <w:b/>
          <w:sz w:val="32"/>
          <w:szCs w:val="32"/>
        </w:rPr>
      </w:pPr>
    </w:p>
    <w:p>
      <w:pPr>
        <w:pStyle w:val="style0"/>
        <w:autoSpaceDE w:val="false"/>
        <w:autoSpaceDN w:val="false"/>
        <w:adjustRightInd w:val="false"/>
        <w:spacing w:after="0" w:lineRule="auto" w:line="360"/>
        <w:jc w:val="both"/>
        <w:rPr>
          <w:rFonts w:ascii="Times New Roman" w:cs="Times New Roman" w:hAnsi="Times New Roman"/>
          <w:b/>
          <w:sz w:val="32"/>
          <w:szCs w:val="32"/>
        </w:rPr>
      </w:pPr>
    </w:p>
    <w:p>
      <w:pPr>
        <w:pStyle w:val="style0"/>
        <w:autoSpaceDE w:val="false"/>
        <w:autoSpaceDN w:val="false"/>
        <w:adjustRightInd w:val="false"/>
        <w:spacing w:after="0" w:lineRule="auto" w:line="360"/>
        <w:jc w:val="both"/>
        <w:rPr>
          <w:rFonts w:ascii="Times New Roman" w:cs="Times New Roman" w:hAnsi="Times New Roman"/>
          <w:b/>
          <w:sz w:val="32"/>
          <w:szCs w:val="32"/>
        </w:rPr>
      </w:pPr>
      <w:r>
        <w:rPr>
          <w:rFonts w:ascii="Times New Roman" w:cs="Times New Roman" w:hAnsi="Times New Roman"/>
          <w:b/>
          <w:sz w:val="32"/>
          <w:szCs w:val="32"/>
        </w:rPr>
        <w:t>QUESTION 2:</w:t>
      </w:r>
    </w:p>
    <w:p>
      <w:pPr>
        <w:pStyle w:val="style0"/>
        <w:autoSpaceDE w:val="false"/>
        <w:autoSpaceDN w:val="false"/>
        <w:adjustRightInd w:val="false"/>
        <w:spacing w:after="0" w:lineRule="auto" w:line="360"/>
        <w:jc w:val="both"/>
        <w:rPr>
          <w:rFonts w:ascii="Times New Roman" w:cs="Times New Roman" w:hAnsi="Times New Roman"/>
          <w:b/>
          <w:sz w:val="28"/>
          <w:szCs w:val="28"/>
        </w:rPr>
      </w:pPr>
      <w:r>
        <w:rPr>
          <w:rFonts w:ascii="Times New Roman" w:cs="Times New Roman" w:hAnsi="Times New Roman"/>
          <w:b/>
          <w:sz w:val="28"/>
          <w:szCs w:val="28"/>
        </w:rPr>
        <w:t xml:space="preserve">MUTATION OR CONVERSION OF MARRIAGES IN CONFLICT OF LAWS </w:t>
      </w:r>
    </w:p>
    <w:p>
      <w:pPr>
        <w:pStyle w:val="style0"/>
        <w:autoSpaceDE w:val="false"/>
        <w:autoSpaceDN w:val="false"/>
        <w:adjustRightInd w:val="false"/>
        <w:spacing w:after="0" w:lineRule="auto" w:line="360"/>
        <w:jc w:val="both"/>
        <w:rPr>
          <w:rFonts w:ascii="Times New Roman" w:cs="Times New Roman" w:hAnsi="Times New Roman"/>
          <w:b/>
          <w:sz w:val="24"/>
          <w:szCs w:val="24"/>
        </w:rPr>
      </w:pPr>
      <w:r>
        <w:rPr>
          <w:rFonts w:ascii="Algerian" w:cs="Times New Roman" w:hAnsi="Algerian"/>
          <w:sz w:val="24"/>
          <w:szCs w:val="24"/>
        </w:rPr>
        <w:tab/>
      </w:r>
      <w:r>
        <w:rPr>
          <w:rFonts w:ascii="Times New Roman" w:cs="Times New Roman" w:hAnsi="Times New Roman"/>
          <w:sz w:val="24"/>
          <w:szCs w:val="24"/>
        </w:rPr>
        <w:t>Polygamy is considered primarily a legal concept, giving rise to a particular legal status, but in fact polygamy symbolizes a particular cultural and religious heritage.</w:t>
      </w:r>
      <w:r>
        <w:rPr>
          <w:rStyle w:val="style38"/>
          <w:rFonts w:ascii="Times New Roman" w:cs="Times New Roman" w:hAnsi="Times New Roman"/>
          <w:sz w:val="24"/>
          <w:szCs w:val="24"/>
        </w:rPr>
        <w:footnoteReference w:id="5"/>
      </w:r>
      <w:r>
        <w:rPr>
          <w:rFonts w:ascii="Times New Roman" w:cs="Times New Roman" w:hAnsi="Times New Roman"/>
          <w:sz w:val="24"/>
          <w:szCs w:val="24"/>
        </w:rPr>
        <w:t xml:space="preserve"> African native law and custom espouse polygamy, both as a religious fact and as a cultural facet of African tribal life.</w:t>
      </w:r>
      <w:r>
        <w:rPr>
          <w:rStyle w:val="style38"/>
          <w:rFonts w:ascii="Times New Roman" w:cs="Times New Roman" w:hAnsi="Times New Roman"/>
          <w:sz w:val="24"/>
          <w:szCs w:val="24"/>
        </w:rPr>
        <w:footnoteReference w:id="6"/>
      </w:r>
      <w:r>
        <w:rPr>
          <w:rFonts w:ascii="Times New Roman" w:cs="Times New Roman" w:hAnsi="Times New Roman"/>
          <w:sz w:val="24"/>
          <w:szCs w:val="24"/>
        </w:rPr>
        <w:t xml:space="preserve"> Equally well rooted in Western culture and religion is the institution of monogamy represented by common law tradition.</w:t>
      </w:r>
      <w:r>
        <w:rPr>
          <w:rStyle w:val="style38"/>
          <w:rFonts w:ascii="Times New Roman" w:cs="Times New Roman" w:hAnsi="Times New Roman"/>
          <w:sz w:val="24"/>
          <w:szCs w:val="24"/>
        </w:rPr>
        <w:footnoteReference w:id="7"/>
      </w:r>
      <w:r>
        <w:rPr>
          <w:rFonts w:ascii="Times New Roman" w:cs="Times New Roman" w:hAnsi="Times New Roman"/>
          <w:sz w:val="24"/>
          <w:szCs w:val="24"/>
        </w:rPr>
        <w:t xml:space="preserve"> The accommodation of polygamy and its manifold consequences present a fundamental difficulty for the common law system. It is therefore proposed to examine the present position of polygamy in the common law world in order to determine what changes were necessary to accommodate this institution. </w:t>
      </w:r>
    </w:p>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b/>
          <w:sz w:val="24"/>
          <w:szCs w:val="24"/>
        </w:rPr>
        <w:tab/>
      </w:r>
      <w:r>
        <w:rPr>
          <w:rFonts w:ascii="Times New Roman" w:cs="Times New Roman" w:hAnsi="Times New Roman"/>
          <w:sz w:val="24"/>
          <w:szCs w:val="24"/>
        </w:rPr>
        <w:t xml:space="preserve">In </w:t>
      </w:r>
      <w:r>
        <w:rPr>
          <w:rFonts w:ascii="Times New Roman" w:cs="Times New Roman" w:hAnsi="Times New Roman"/>
          <w:sz w:val="24"/>
          <w:szCs w:val="24"/>
        </w:rPr>
        <w:t>1962, the British Colu</w:t>
      </w:r>
      <w:r>
        <w:rPr>
          <w:rFonts w:ascii="Times New Roman" w:cs="Times New Roman" w:hAnsi="Times New Roman"/>
          <w:sz w:val="24"/>
          <w:szCs w:val="24"/>
        </w:rPr>
        <w:t xml:space="preserve">mbia Supreme Court in </w:t>
      </w:r>
      <w:r>
        <w:rPr>
          <w:rFonts w:ascii="Times New Roman" w:cs="Times New Roman" w:hAnsi="Times New Roman"/>
          <w:i/>
          <w:sz w:val="24"/>
          <w:szCs w:val="24"/>
        </w:rPr>
        <w:t>Sara v Sara</w:t>
      </w:r>
      <w:r>
        <w:rPr>
          <w:rStyle w:val="style38"/>
          <w:rFonts w:ascii="Times New Roman" w:cs="Times New Roman" w:hAnsi="Times New Roman"/>
          <w:i/>
          <w:sz w:val="24"/>
          <w:szCs w:val="24"/>
        </w:rPr>
        <w:footnoteReference w:id="8"/>
      </w:r>
      <w:r>
        <w:rPr>
          <w:rFonts w:ascii="Times New Roman" w:cs="Times New Roman" w:hAnsi="Times New Roman"/>
          <w:sz w:val="24"/>
          <w:szCs w:val="24"/>
        </w:rPr>
        <w:t xml:space="preserve"> felt compelled to depart from the</w:t>
      </w:r>
      <w:r>
        <w:rPr>
          <w:rFonts w:ascii="Times New Roman" w:cs="Times New Roman" w:hAnsi="Times New Roman"/>
          <w:sz w:val="24"/>
          <w:szCs w:val="24"/>
        </w:rPr>
        <w:t>ir</w:t>
      </w:r>
      <w:r>
        <w:rPr>
          <w:rFonts w:ascii="Times New Roman" w:cs="Times New Roman" w:hAnsi="Times New Roman"/>
          <w:sz w:val="24"/>
          <w:szCs w:val="24"/>
        </w:rPr>
        <w:t xml:space="preserve"> reasoning in the case of </w:t>
      </w:r>
      <w:r>
        <w:rPr>
          <w:rFonts w:ascii="Times New Roman" w:cs="Times New Roman" w:hAnsi="Times New Roman"/>
          <w:i/>
          <w:sz w:val="24"/>
          <w:szCs w:val="24"/>
        </w:rPr>
        <w:t>Lim v Lim</w:t>
      </w:r>
      <w:r>
        <w:rPr>
          <w:rStyle w:val="style38"/>
          <w:rFonts w:ascii="Times New Roman" w:cs="Times New Roman" w:hAnsi="Times New Roman"/>
          <w:i/>
          <w:sz w:val="24"/>
          <w:szCs w:val="24"/>
        </w:rPr>
        <w:footnoteReference w:id="9"/>
      </w:r>
      <w:r>
        <w:rPr>
          <w:rFonts w:ascii="Times New Roman" w:cs="Times New Roman" w:hAnsi="Times New Roman"/>
          <w:sz w:val="24"/>
          <w:szCs w:val="24"/>
        </w:rPr>
        <w:t xml:space="preserve"> because “there [were] signs of a more modern and enlightened view being accepted such as it contained in Dicey”.</w:t>
      </w:r>
      <w:r>
        <w:rPr>
          <w:rStyle w:val="style38"/>
          <w:rFonts w:ascii="Times New Roman" w:cs="Times New Roman" w:hAnsi="Times New Roman"/>
          <w:sz w:val="24"/>
          <w:szCs w:val="24"/>
        </w:rPr>
        <w:footnoteReference w:id="10"/>
      </w:r>
      <w:r>
        <w:rPr>
          <w:rFonts w:ascii="Times New Roman" w:cs="Times New Roman" w:hAnsi="Times New Roman"/>
          <w:sz w:val="24"/>
          <w:szCs w:val="24"/>
        </w:rPr>
        <w:t xml:space="preserve"> In that case,</w:t>
      </w:r>
      <w:r>
        <w:rPr>
          <w:rFonts w:ascii="Times New Roman" w:cs="Times New Roman" w:hAnsi="Times New Roman"/>
          <w:sz w:val="24"/>
          <w:szCs w:val="24"/>
        </w:rPr>
        <w:t xml:space="preserve"> the</w:t>
      </w:r>
      <w:r>
        <w:rPr>
          <w:rFonts w:ascii="Times New Roman" w:cs="Times New Roman" w:hAnsi="Times New Roman"/>
          <w:sz w:val="24"/>
          <w:szCs w:val="24"/>
        </w:rPr>
        <w:t xml:space="preserve"> </w:t>
      </w:r>
      <w:r>
        <w:rPr>
          <w:rFonts w:ascii="Times New Roman" w:cs="Times New Roman" w:hAnsi="Times New Roman"/>
          <w:sz w:val="24"/>
          <w:szCs w:val="24"/>
        </w:rPr>
        <w:t>wife, domiciled in British Columbia, married the husband in India in accordance</w:t>
      </w:r>
      <w:r>
        <w:rPr>
          <w:rFonts w:ascii="Times New Roman" w:cs="Times New Roman" w:hAnsi="Times New Roman"/>
          <w:sz w:val="24"/>
          <w:szCs w:val="24"/>
        </w:rPr>
        <w:t xml:space="preserve"> </w:t>
      </w:r>
      <w:r>
        <w:rPr>
          <w:rFonts w:ascii="Times New Roman" w:cs="Times New Roman" w:hAnsi="Times New Roman"/>
          <w:sz w:val="24"/>
          <w:szCs w:val="24"/>
        </w:rPr>
        <w:t>with a Hindu ceremony of marriage which allowed polygamy. After the</w:t>
      </w:r>
      <w:r>
        <w:rPr>
          <w:rFonts w:ascii="Times New Roman" w:cs="Times New Roman" w:hAnsi="Times New Roman"/>
          <w:sz w:val="24"/>
          <w:szCs w:val="24"/>
        </w:rPr>
        <w:t xml:space="preserve"> </w:t>
      </w:r>
      <w:r>
        <w:rPr>
          <w:rFonts w:ascii="Times New Roman" w:cs="Times New Roman" w:hAnsi="Times New Roman"/>
          <w:sz w:val="24"/>
          <w:szCs w:val="24"/>
        </w:rPr>
        <w:t>marriage both parties came to British Columbia where the husband acquired</w:t>
      </w:r>
      <w:r>
        <w:rPr>
          <w:rFonts w:ascii="Times New Roman" w:cs="Times New Roman" w:hAnsi="Times New Roman"/>
          <w:sz w:val="24"/>
          <w:szCs w:val="24"/>
        </w:rPr>
        <w:t xml:space="preserve"> </w:t>
      </w:r>
      <w:r>
        <w:rPr>
          <w:rFonts w:ascii="Times New Roman" w:cs="Times New Roman" w:hAnsi="Times New Roman"/>
          <w:sz w:val="24"/>
          <w:szCs w:val="24"/>
        </w:rPr>
        <w:t>a domicile. The husband sought a declaration that he was not a married</w:t>
      </w:r>
      <w:r>
        <w:rPr>
          <w:rFonts w:ascii="Times New Roman" w:cs="Times New Roman" w:hAnsi="Times New Roman"/>
          <w:sz w:val="24"/>
          <w:szCs w:val="24"/>
        </w:rPr>
        <w:t xml:space="preserve"> </w:t>
      </w:r>
      <w:r>
        <w:rPr>
          <w:rFonts w:ascii="Times New Roman" w:cs="Times New Roman" w:hAnsi="Times New Roman"/>
          <w:sz w:val="24"/>
          <w:szCs w:val="24"/>
        </w:rPr>
        <w:t>person within the meaning of the law of British Columbia, on the ground that</w:t>
      </w:r>
      <w:r>
        <w:rPr>
          <w:rFonts w:ascii="Times New Roman" w:cs="Times New Roman" w:hAnsi="Times New Roman"/>
          <w:sz w:val="24"/>
          <w:szCs w:val="24"/>
        </w:rPr>
        <w:t xml:space="preserve"> </w:t>
      </w:r>
      <w:r>
        <w:rPr>
          <w:rFonts w:ascii="Times New Roman" w:cs="Times New Roman" w:hAnsi="Times New Roman"/>
          <w:sz w:val="24"/>
          <w:szCs w:val="24"/>
        </w:rPr>
        <w:t>his marriage was polygamous. The wife sought a declaration of the validity of</w:t>
      </w:r>
      <w:r>
        <w:rPr>
          <w:rFonts w:ascii="Times New Roman" w:cs="Times New Roman" w:hAnsi="Times New Roman"/>
          <w:sz w:val="24"/>
          <w:szCs w:val="24"/>
        </w:rPr>
        <w:t xml:space="preserve"> </w:t>
      </w:r>
      <w:r>
        <w:rPr>
          <w:rFonts w:ascii="Times New Roman" w:cs="Times New Roman" w:hAnsi="Times New Roman"/>
          <w:sz w:val="24"/>
          <w:szCs w:val="24"/>
        </w:rPr>
        <w:t xml:space="preserve">the marriage. </w:t>
      </w:r>
      <w:r>
        <w:rPr>
          <w:rFonts w:ascii="Times New Roman" w:cs="Times New Roman" w:hAnsi="Times New Roman"/>
          <w:b/>
          <w:i/>
          <w:sz w:val="24"/>
          <w:szCs w:val="24"/>
        </w:rPr>
        <w:t>Lord, J.</w:t>
      </w:r>
      <w:r>
        <w:rPr>
          <w:rFonts w:ascii="Times New Roman" w:cs="Times New Roman" w:hAnsi="Times New Roman"/>
          <w:sz w:val="24"/>
          <w:szCs w:val="24"/>
        </w:rPr>
        <w:t xml:space="preserve"> dismissed the application of the husband and made the</w:t>
      </w:r>
      <w:r>
        <w:rPr>
          <w:rFonts w:ascii="Times New Roman" w:cs="Times New Roman" w:hAnsi="Times New Roman"/>
          <w:sz w:val="24"/>
          <w:szCs w:val="24"/>
        </w:rPr>
        <w:t xml:space="preserve"> </w:t>
      </w:r>
      <w:r>
        <w:rPr>
          <w:rFonts w:ascii="Times New Roman" w:cs="Times New Roman" w:hAnsi="Times New Roman"/>
          <w:sz w:val="24"/>
          <w:szCs w:val="24"/>
        </w:rPr>
        <w:t>declaration sought by the wife. His Lordship based his decision on two</w:t>
      </w:r>
      <w:r>
        <w:rPr>
          <w:rFonts w:ascii="Times New Roman" w:cs="Times New Roman" w:hAnsi="Times New Roman"/>
          <w:sz w:val="24"/>
          <w:szCs w:val="24"/>
        </w:rPr>
        <w:t xml:space="preserve"> </w:t>
      </w:r>
      <w:r>
        <w:rPr>
          <w:rFonts w:ascii="Times New Roman" w:cs="Times New Roman" w:hAnsi="Times New Roman"/>
          <w:sz w:val="24"/>
          <w:szCs w:val="24"/>
        </w:rPr>
        <w:t>factors</w:t>
      </w:r>
      <w:r>
        <w:rPr>
          <w:rFonts w:ascii="Times New Roman" w:cs="Times New Roman" w:hAnsi="Times New Roman"/>
          <w:sz w:val="24"/>
          <w:szCs w:val="24"/>
        </w:rPr>
        <w:t>:</w:t>
      </w:r>
      <w:r>
        <w:rPr>
          <w:rFonts w:ascii="Times New Roman" w:cs="Times New Roman" w:hAnsi="Times New Roman"/>
          <w:sz w:val="24"/>
          <w:szCs w:val="24"/>
        </w:rPr>
        <w:t xml:space="preserve"> (a) acquisition by the husband of a domicile of choice in British</w:t>
      </w:r>
      <w:r>
        <w:rPr>
          <w:rFonts w:ascii="Times New Roman" w:cs="Times New Roman" w:hAnsi="Times New Roman"/>
          <w:sz w:val="24"/>
          <w:szCs w:val="24"/>
        </w:rPr>
        <w:t xml:space="preserve"> </w:t>
      </w:r>
      <w:r>
        <w:rPr>
          <w:rFonts w:ascii="Times New Roman" w:cs="Times New Roman" w:hAnsi="Times New Roman"/>
          <w:sz w:val="24"/>
          <w:szCs w:val="24"/>
        </w:rPr>
        <w:t>Columbia</w:t>
      </w:r>
      <w:r>
        <w:rPr>
          <w:rFonts w:ascii="Times New Roman" w:cs="Times New Roman" w:hAnsi="Times New Roman"/>
          <w:sz w:val="24"/>
          <w:szCs w:val="24"/>
        </w:rPr>
        <w:t>;</w:t>
      </w:r>
      <w:r>
        <w:rPr>
          <w:rFonts w:ascii="Times New Roman" w:cs="Times New Roman" w:hAnsi="Times New Roman"/>
          <w:sz w:val="24"/>
          <w:szCs w:val="24"/>
        </w:rPr>
        <w:t xml:space="preserve"> (b) the fact that subsequent to the marriage polygamy between Hindus in India was abolished by the </w:t>
      </w:r>
      <w:r>
        <w:rPr>
          <w:rFonts w:ascii="Times New Roman" w:cs="Times New Roman" w:hAnsi="Times New Roman"/>
          <w:b/>
          <w:sz w:val="24"/>
          <w:szCs w:val="24"/>
        </w:rPr>
        <w:t>Hindu Marriage Act, 1955</w:t>
      </w:r>
      <w:r>
        <w:rPr>
          <w:rFonts w:ascii="Times New Roman" w:cs="Times New Roman" w:hAnsi="Times New Roman"/>
          <w:sz w:val="24"/>
          <w:szCs w:val="24"/>
        </w:rPr>
        <w:t xml:space="preserve">. </w:t>
      </w:r>
    </w:p>
    <w:p>
      <w:pPr>
        <w:pStyle w:val="style0"/>
        <w:autoSpaceDE w:val="false"/>
        <w:autoSpaceDN w:val="false"/>
        <w:adjustRightInd w:val="false"/>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In succession and legitimacy</w:t>
      </w:r>
      <w:r>
        <w:rPr>
          <w:rFonts w:ascii="Times New Roman" w:cs="Times New Roman" w:hAnsi="Times New Roman"/>
          <w:sz w:val="24"/>
          <w:szCs w:val="24"/>
        </w:rPr>
        <w:t xml:space="preserve">, “marriage” has been defined so as to include polygamy, while matrimonial matters, including matrimonial relief, have traditionally followed the </w:t>
      </w:r>
      <w:r>
        <w:rPr>
          <w:rFonts w:ascii="Times New Roman" w:cs="Times New Roman" w:hAnsi="Times New Roman"/>
          <w:i/>
          <w:sz w:val="24"/>
          <w:szCs w:val="24"/>
        </w:rPr>
        <w:t xml:space="preserve">Hyde v </w:t>
      </w:r>
      <w:r>
        <w:rPr>
          <w:rFonts w:ascii="Times New Roman" w:cs="Times New Roman" w:hAnsi="Times New Roman"/>
          <w:i/>
          <w:sz w:val="24"/>
          <w:szCs w:val="24"/>
        </w:rPr>
        <w:t>Hyde</w:t>
      </w:r>
      <w:r>
        <w:rPr>
          <w:rStyle w:val="style38"/>
          <w:rFonts w:ascii="Times New Roman" w:cs="Times New Roman" w:hAnsi="Times New Roman"/>
          <w:i/>
          <w:sz w:val="24"/>
          <w:szCs w:val="24"/>
        </w:rPr>
        <w:footnoteReference w:id="11"/>
      </w:r>
      <w:r>
        <w:rPr>
          <w:rFonts w:ascii="Times New Roman" w:cs="Times New Roman" w:hAnsi="Times New Roman"/>
          <w:sz w:val="24"/>
          <w:szCs w:val="24"/>
        </w:rPr>
        <w:t xml:space="preserve"> rule. </w:t>
      </w:r>
      <w:r>
        <w:rPr>
          <w:rFonts w:ascii="Times New Roman" w:cs="Times New Roman" w:hAnsi="Times New Roman"/>
          <w:sz w:val="24"/>
          <w:szCs w:val="24"/>
        </w:rPr>
        <w:t>Ever since the decision in</w:t>
      </w:r>
      <w:r>
        <w:rPr>
          <w:rFonts w:ascii="Times New Roman" w:cs="Times New Roman" w:hAnsi="Times New Roman"/>
          <w:sz w:val="24"/>
          <w:szCs w:val="24"/>
        </w:rPr>
        <w:t xml:space="preserve"> the</w:t>
      </w:r>
      <w:r>
        <w:rPr>
          <w:rFonts w:ascii="Times New Roman" w:cs="Times New Roman" w:hAnsi="Times New Roman"/>
          <w:sz w:val="24"/>
          <w:szCs w:val="24"/>
        </w:rPr>
        <w:t xml:space="preserve"> </w:t>
      </w:r>
      <w:r>
        <w:rPr>
          <w:rFonts w:ascii="Times New Roman" w:cs="Times New Roman" w:hAnsi="Times New Roman"/>
          <w:i/>
          <w:sz w:val="24"/>
          <w:szCs w:val="24"/>
        </w:rPr>
        <w:t>Hyde</w:t>
      </w:r>
      <w:r>
        <w:rPr>
          <w:rFonts w:ascii="Times New Roman" w:cs="Times New Roman" w:hAnsi="Times New Roman"/>
          <w:sz w:val="24"/>
          <w:szCs w:val="24"/>
        </w:rPr>
        <w:t xml:space="preserve"> case (now more than a century old)</w:t>
      </w:r>
      <w:r>
        <w:rPr>
          <w:rFonts w:ascii="Times New Roman" w:cs="Times New Roman" w:hAnsi="Times New Roman"/>
          <w:sz w:val="24"/>
          <w:szCs w:val="24"/>
        </w:rPr>
        <w:t xml:space="preserve"> </w:t>
      </w:r>
      <w:r>
        <w:rPr>
          <w:rFonts w:ascii="Times New Roman" w:cs="Times New Roman" w:hAnsi="Times New Roman"/>
          <w:sz w:val="24"/>
          <w:szCs w:val="24"/>
        </w:rPr>
        <w:t>English and Australian Courts have declined to grant matrimonial relief in respect of a polygamous marriage. When is a marriage polygamous? Until recently it was generally thought that the nature or character of a marriage is immutably determined by the law of the place of celebration. In recent years, it has been conceded that the character of a marriage may be changed from polygamous to monogamous.</w:t>
      </w:r>
      <w:r>
        <w:rPr>
          <w:rFonts w:ascii="Times New Roman" w:cs="Times New Roman" w:hAnsi="Times New Roman"/>
          <w:sz w:val="24"/>
          <w:szCs w:val="24"/>
        </w:rPr>
        <w:t xml:space="preserve"> In cases where such a mutation was recognised as in </w:t>
      </w:r>
      <w:r>
        <w:rPr>
          <w:rFonts w:ascii="Times New Roman" w:cs="Times New Roman" w:hAnsi="Times New Roman"/>
          <w:i/>
          <w:sz w:val="24"/>
          <w:szCs w:val="24"/>
        </w:rPr>
        <w:t>Cheni v Cheni,</w:t>
      </w:r>
      <w:r>
        <w:rPr>
          <w:rStyle w:val="style38"/>
          <w:rFonts w:ascii="Times New Roman" w:cs="Times New Roman" w:hAnsi="Times New Roman"/>
          <w:sz w:val="24"/>
          <w:szCs w:val="24"/>
        </w:rPr>
        <w:footnoteReference w:id="12"/>
      </w:r>
      <w:r>
        <w:rPr>
          <w:rFonts w:ascii="Times New Roman" w:cs="Times New Roman" w:hAnsi="Times New Roman"/>
          <w:sz w:val="24"/>
          <w:szCs w:val="24"/>
        </w:rPr>
        <w:t xml:space="preserve"> the change </w:t>
      </w:r>
      <w:r>
        <w:rPr>
          <w:rFonts w:ascii="Times New Roman" w:cs="Times New Roman" w:hAnsi="Times New Roman"/>
          <w:sz w:val="24"/>
          <w:szCs w:val="24"/>
        </w:rPr>
        <w:t>was in accordance with the law of the place of celebration itself.</w:t>
      </w:r>
      <w:r>
        <w:rPr>
          <w:rFonts w:ascii="Times New Roman" w:cs="Times New Roman" w:hAnsi="Times New Roman"/>
          <w:sz w:val="24"/>
          <w:szCs w:val="24"/>
        </w:rPr>
        <w:t xml:space="preserve"> In that case the</w:t>
      </w:r>
      <w:r>
        <w:rPr>
          <w:rFonts w:ascii="Times New Roman" w:cs="Times New Roman" w:hAnsi="Times New Roman"/>
          <w:sz w:val="24"/>
          <w:szCs w:val="24"/>
        </w:rPr>
        <w:t xml:space="preserve"> </w:t>
      </w:r>
      <w:r>
        <w:rPr>
          <w:rFonts w:ascii="Times New Roman" w:cs="Times New Roman" w:hAnsi="Times New Roman"/>
          <w:sz w:val="24"/>
          <w:szCs w:val="24"/>
        </w:rPr>
        <w:t>spouses were married according to Jewish rites in Egypt where they were</w:t>
      </w:r>
      <w:r>
        <w:rPr>
          <w:rFonts w:ascii="Times New Roman" w:cs="Times New Roman" w:hAnsi="Times New Roman"/>
          <w:sz w:val="24"/>
          <w:szCs w:val="24"/>
        </w:rPr>
        <w:t xml:space="preserve"> domiciled. By Egyptian law the </w:t>
      </w:r>
      <w:r>
        <w:rPr>
          <w:rFonts w:ascii="Times New Roman" w:cs="Times New Roman" w:hAnsi="Times New Roman"/>
          <w:sz w:val="24"/>
          <w:szCs w:val="24"/>
        </w:rPr>
        <w:t>religious law of the parties determined the</w:t>
      </w:r>
      <w:r>
        <w:rPr>
          <w:rFonts w:ascii="Times New Roman" w:cs="Times New Roman" w:hAnsi="Times New Roman"/>
          <w:sz w:val="24"/>
          <w:szCs w:val="24"/>
        </w:rPr>
        <w:t xml:space="preserve"> </w:t>
      </w:r>
      <w:r>
        <w:rPr>
          <w:rFonts w:ascii="Times New Roman" w:cs="Times New Roman" w:hAnsi="Times New Roman"/>
          <w:sz w:val="24"/>
          <w:szCs w:val="24"/>
        </w:rPr>
        <w:t>valid</w:t>
      </w:r>
      <w:r>
        <w:rPr>
          <w:rFonts w:ascii="Times New Roman" w:cs="Times New Roman" w:hAnsi="Times New Roman"/>
          <w:sz w:val="24"/>
          <w:szCs w:val="24"/>
        </w:rPr>
        <w:t xml:space="preserve">ity of the marriage; by Jewish law if there was </w:t>
      </w:r>
      <w:r>
        <w:rPr>
          <w:rFonts w:ascii="Times New Roman" w:cs="Times New Roman" w:hAnsi="Times New Roman"/>
          <w:sz w:val="24"/>
          <w:szCs w:val="24"/>
        </w:rPr>
        <w:t>failure of offspring of the</w:t>
      </w:r>
      <w:r>
        <w:rPr>
          <w:rFonts w:ascii="Times New Roman" w:cs="Times New Roman" w:hAnsi="Times New Roman"/>
          <w:sz w:val="24"/>
          <w:szCs w:val="24"/>
        </w:rPr>
        <w:t xml:space="preserve"> </w:t>
      </w:r>
      <w:r>
        <w:rPr>
          <w:rFonts w:ascii="Times New Roman" w:cs="Times New Roman" w:hAnsi="Times New Roman"/>
          <w:sz w:val="24"/>
          <w:szCs w:val="24"/>
        </w:rPr>
        <w:t>union within a certain period the husband could take another wife without</w:t>
      </w:r>
      <w:r>
        <w:rPr>
          <w:rFonts w:ascii="Times New Roman" w:cs="Times New Roman" w:hAnsi="Times New Roman"/>
          <w:sz w:val="24"/>
          <w:szCs w:val="24"/>
        </w:rPr>
        <w:t xml:space="preserve"> </w:t>
      </w:r>
      <w:r>
        <w:rPr>
          <w:rFonts w:ascii="Times New Roman" w:cs="Times New Roman" w:hAnsi="Times New Roman"/>
          <w:sz w:val="24"/>
          <w:szCs w:val="24"/>
        </w:rPr>
        <w:t>formally divorcing the first. On the other hand, the birth of a child within</w:t>
      </w:r>
      <w:r>
        <w:rPr>
          <w:rFonts w:ascii="Times New Roman" w:cs="Times New Roman" w:hAnsi="Times New Roman"/>
          <w:sz w:val="24"/>
          <w:szCs w:val="24"/>
        </w:rPr>
        <w:t xml:space="preserve"> that period </w:t>
      </w:r>
      <w:r>
        <w:rPr>
          <w:rFonts w:ascii="Times New Roman" w:cs="Times New Roman" w:hAnsi="Times New Roman"/>
          <w:sz w:val="24"/>
          <w:szCs w:val="24"/>
        </w:rPr>
        <w:t>made the marriage monogamous for all purposes. A child was in</w:t>
      </w:r>
      <w:r>
        <w:rPr>
          <w:rFonts w:ascii="Times New Roman" w:cs="Times New Roman" w:hAnsi="Times New Roman"/>
          <w:sz w:val="24"/>
          <w:szCs w:val="24"/>
        </w:rPr>
        <w:t xml:space="preserve"> </w:t>
      </w:r>
      <w:r>
        <w:rPr>
          <w:rFonts w:ascii="Times New Roman" w:cs="Times New Roman" w:hAnsi="Times New Roman"/>
          <w:sz w:val="24"/>
          <w:szCs w:val="24"/>
        </w:rPr>
        <w:t>fact born to the parties who later came to England where they were domiciled</w:t>
      </w:r>
      <w:r>
        <w:rPr>
          <w:rFonts w:ascii="Times New Roman" w:cs="Times New Roman" w:hAnsi="Times New Roman"/>
          <w:sz w:val="24"/>
          <w:szCs w:val="24"/>
        </w:rPr>
        <w:t xml:space="preserve"> </w:t>
      </w:r>
      <w:r>
        <w:rPr>
          <w:rFonts w:ascii="Times New Roman" w:cs="Times New Roman" w:hAnsi="Times New Roman"/>
          <w:sz w:val="24"/>
          <w:szCs w:val="24"/>
        </w:rPr>
        <w:t xml:space="preserve">at the date of proceedings by the wife for a decree </w:t>
      </w:r>
      <w:r>
        <w:rPr>
          <w:rFonts w:ascii="Times New Roman" w:cs="Times New Roman" w:hAnsi="Times New Roman"/>
          <w:sz w:val="24"/>
          <w:szCs w:val="24"/>
        </w:rPr>
        <w:t>o</w:t>
      </w:r>
      <w:r>
        <w:rPr>
          <w:rFonts w:ascii="Times New Roman" w:cs="Times New Roman" w:hAnsi="Times New Roman"/>
          <w:sz w:val="24"/>
          <w:szCs w:val="24"/>
        </w:rPr>
        <w:t>f nullity on the ground of consanguinity. The husband argued that the English Court had no jurisdiction</w:t>
      </w:r>
      <w:r>
        <w:rPr>
          <w:rFonts w:ascii="Times New Roman" w:cs="Times New Roman" w:hAnsi="Times New Roman"/>
          <w:sz w:val="24"/>
          <w:szCs w:val="24"/>
        </w:rPr>
        <w:t xml:space="preserve"> </w:t>
      </w:r>
      <w:r>
        <w:rPr>
          <w:rFonts w:ascii="Times New Roman" w:cs="Times New Roman" w:hAnsi="Times New Roman"/>
          <w:sz w:val="24"/>
          <w:szCs w:val="24"/>
        </w:rPr>
        <w:t>to grant the decree because the marriage was potentially polygamous.</w:t>
      </w:r>
      <w:r>
        <w:rPr>
          <w:rFonts w:ascii="Times New Roman" w:cs="Times New Roman" w:hAnsi="Times New Roman"/>
          <w:sz w:val="24"/>
          <w:szCs w:val="24"/>
        </w:rPr>
        <w:t xml:space="preserve"> </w:t>
      </w:r>
      <w:r>
        <w:rPr>
          <w:rFonts w:ascii="Times New Roman" w:cs="Times New Roman" w:hAnsi="Times New Roman"/>
          <w:sz w:val="24"/>
          <w:szCs w:val="24"/>
        </w:rPr>
        <w:t xml:space="preserve">The Court </w:t>
      </w:r>
      <w:r>
        <w:rPr>
          <w:rFonts w:ascii="Times New Roman" w:cs="Times New Roman" w:hAnsi="Times New Roman"/>
          <w:b/>
          <w:i/>
          <w:sz w:val="24"/>
          <w:szCs w:val="24"/>
        </w:rPr>
        <w:t>(Sir Jocelyn Simon, P.)</w:t>
      </w:r>
      <w:r>
        <w:rPr>
          <w:rFonts w:ascii="Times New Roman" w:cs="Times New Roman" w:hAnsi="Times New Roman"/>
          <w:sz w:val="24"/>
          <w:szCs w:val="24"/>
        </w:rPr>
        <w:t xml:space="preserve"> held that the birth of the child rendered</w:t>
      </w:r>
      <w:r>
        <w:rPr>
          <w:rFonts w:ascii="Times New Roman" w:cs="Times New Roman" w:hAnsi="Times New Roman"/>
          <w:sz w:val="24"/>
          <w:szCs w:val="24"/>
        </w:rPr>
        <w:t xml:space="preserve"> </w:t>
      </w:r>
      <w:r>
        <w:rPr>
          <w:rFonts w:ascii="Times New Roman" w:cs="Times New Roman" w:hAnsi="Times New Roman"/>
          <w:sz w:val="24"/>
          <w:szCs w:val="24"/>
        </w:rPr>
        <w:t>the marriage monogamous and that the proper time to consider the character</w:t>
      </w:r>
      <w:r>
        <w:rPr>
          <w:rFonts w:ascii="Times New Roman" w:cs="Times New Roman" w:hAnsi="Times New Roman"/>
          <w:sz w:val="24"/>
          <w:szCs w:val="24"/>
        </w:rPr>
        <w:t xml:space="preserve"> </w:t>
      </w:r>
      <w:r>
        <w:rPr>
          <w:rFonts w:ascii="Times New Roman" w:cs="Times New Roman" w:hAnsi="Times New Roman"/>
          <w:sz w:val="24"/>
          <w:szCs w:val="24"/>
        </w:rPr>
        <w:t>of the marriage w</w:t>
      </w:r>
      <w:r>
        <w:rPr>
          <w:rFonts w:ascii="Times New Roman" w:cs="Times New Roman" w:hAnsi="Times New Roman"/>
          <w:sz w:val="24"/>
          <w:szCs w:val="24"/>
        </w:rPr>
        <w:t xml:space="preserve">as the date of proceedings. The </w:t>
      </w:r>
      <w:r>
        <w:rPr>
          <w:rFonts w:ascii="Times New Roman" w:cs="Times New Roman" w:hAnsi="Times New Roman"/>
          <w:sz w:val="24"/>
          <w:szCs w:val="24"/>
        </w:rPr>
        <w:t>learned judge cited two</w:t>
      </w:r>
      <w:r>
        <w:rPr>
          <w:rFonts w:ascii="Times New Roman" w:cs="Times New Roman" w:hAnsi="Times New Roman"/>
          <w:sz w:val="24"/>
          <w:szCs w:val="24"/>
        </w:rPr>
        <w:t xml:space="preserve"> </w:t>
      </w:r>
      <w:r>
        <w:rPr>
          <w:rFonts w:ascii="Times New Roman" w:cs="Times New Roman" w:hAnsi="Times New Roman"/>
          <w:sz w:val="24"/>
          <w:szCs w:val="24"/>
        </w:rPr>
        <w:t>instances in which a potentially polygamous union may assume the characteristics</w:t>
      </w:r>
      <w:r>
        <w:rPr>
          <w:rFonts w:ascii="Times New Roman" w:cs="Times New Roman" w:hAnsi="Times New Roman"/>
          <w:sz w:val="24"/>
          <w:szCs w:val="24"/>
        </w:rPr>
        <w:t xml:space="preserve"> </w:t>
      </w:r>
      <w:r>
        <w:rPr>
          <w:rFonts w:ascii="Times New Roman" w:cs="Times New Roman" w:hAnsi="Times New Roman"/>
          <w:sz w:val="24"/>
          <w:szCs w:val="24"/>
        </w:rPr>
        <w:t>of a monogamous marriage:</w:t>
      </w:r>
      <w:r>
        <w:rPr>
          <w:rFonts w:ascii="Times New Roman" w:cs="Times New Roman" w:hAnsi="Times New Roman"/>
          <w:sz w:val="24"/>
          <w:szCs w:val="24"/>
        </w:rPr>
        <w:t xml:space="preserve"> </w:t>
      </w:r>
    </w:p>
    <w:p>
      <w:pPr>
        <w:pStyle w:val="style0"/>
        <w:autoSpaceDE w:val="false"/>
        <w:autoSpaceDN w:val="false"/>
        <w:adjustRightInd w:val="false"/>
        <w:spacing w:after="0" w:lineRule="auto" w:line="360"/>
        <w:jc w:val="center"/>
        <w:rPr>
          <w:rFonts w:ascii="Times New Roman" w:cs="Times New Roman" w:hAnsi="Times New Roman"/>
          <w:b/>
          <w:sz w:val="24"/>
          <w:szCs w:val="24"/>
        </w:rPr>
      </w:pPr>
      <w:r>
        <w:rPr>
          <w:rFonts w:ascii="Times New Roman" w:cs="Times New Roman" w:hAnsi="Times New Roman"/>
          <w:b/>
          <w:i/>
          <w:sz w:val="24"/>
          <w:szCs w:val="24"/>
        </w:rPr>
        <w:t>“</w:t>
      </w:r>
      <w:r>
        <w:rPr>
          <w:rFonts w:ascii="Times New Roman" w:cs="Times New Roman" w:hAnsi="Times New Roman"/>
          <w:b/>
          <w:i/>
          <w:sz w:val="24"/>
          <w:szCs w:val="24"/>
        </w:rPr>
        <w:t>Two spouses may contract a valid polygamous union and subsequently</w:t>
      </w:r>
      <w:r>
        <w:rPr>
          <w:rFonts w:ascii="Times New Roman" w:cs="Times New Roman" w:hAnsi="Times New Roman"/>
          <w:b/>
          <w:i/>
          <w:sz w:val="24"/>
          <w:szCs w:val="24"/>
        </w:rPr>
        <w:t xml:space="preserve"> </w:t>
      </w:r>
      <w:r>
        <w:rPr>
          <w:rFonts w:ascii="Times New Roman" w:cs="Times New Roman" w:hAnsi="Times New Roman"/>
          <w:b/>
          <w:i/>
          <w:sz w:val="24"/>
          <w:szCs w:val="24"/>
        </w:rPr>
        <w:t>join a monogamous sect, or go through a second ceremony in a place</w:t>
      </w:r>
      <w:r>
        <w:rPr>
          <w:rFonts w:ascii="Times New Roman" w:cs="Times New Roman" w:hAnsi="Times New Roman"/>
          <w:b/>
          <w:i/>
          <w:sz w:val="24"/>
          <w:szCs w:val="24"/>
        </w:rPr>
        <w:t xml:space="preserve"> </w:t>
      </w:r>
      <w:r>
        <w:rPr>
          <w:rFonts w:ascii="Times New Roman" w:cs="Times New Roman" w:hAnsi="Times New Roman"/>
          <w:b/>
          <w:i/>
          <w:sz w:val="24"/>
          <w:szCs w:val="24"/>
        </w:rPr>
        <w:t>wher</w:t>
      </w:r>
      <w:r>
        <w:rPr>
          <w:rFonts w:ascii="Times New Roman" w:cs="Times New Roman" w:hAnsi="Times New Roman"/>
          <w:b/>
          <w:i/>
          <w:sz w:val="24"/>
          <w:szCs w:val="24"/>
        </w:rPr>
        <w:t xml:space="preserve">e monogamy is the law. Again, a </w:t>
      </w:r>
      <w:r>
        <w:rPr>
          <w:rFonts w:ascii="Times New Roman" w:cs="Times New Roman" w:hAnsi="Times New Roman"/>
          <w:b/>
          <w:i/>
          <w:sz w:val="24"/>
          <w:szCs w:val="24"/>
        </w:rPr>
        <w:t>marriage in its inception potentially</w:t>
      </w:r>
      <w:r>
        <w:rPr>
          <w:rFonts w:ascii="Times New Roman" w:cs="Times New Roman" w:hAnsi="Times New Roman"/>
          <w:b/>
          <w:i/>
          <w:sz w:val="24"/>
          <w:szCs w:val="24"/>
        </w:rPr>
        <w:t xml:space="preserve"> </w:t>
      </w:r>
      <w:r>
        <w:rPr>
          <w:rFonts w:ascii="Times New Roman" w:cs="Times New Roman" w:hAnsi="Times New Roman"/>
          <w:b/>
          <w:i/>
          <w:sz w:val="24"/>
          <w:szCs w:val="24"/>
        </w:rPr>
        <w:t xml:space="preserve">polygamous though in </w:t>
      </w:r>
      <w:r>
        <w:rPr>
          <w:rFonts w:ascii="Times New Roman" w:cs="Times New Roman" w:hAnsi="Times New Roman"/>
          <w:b/>
          <w:i/>
          <w:sz w:val="24"/>
          <w:szCs w:val="24"/>
        </w:rPr>
        <w:t xml:space="preserve">fact monogamous may be rendered </w:t>
      </w:r>
      <w:r>
        <w:rPr>
          <w:rFonts w:ascii="Times New Roman" w:cs="Times New Roman" w:hAnsi="Times New Roman"/>
          <w:b/>
          <w:i/>
          <w:sz w:val="24"/>
          <w:szCs w:val="24"/>
        </w:rPr>
        <w:t>monogamous</w:t>
      </w:r>
      <w:r>
        <w:rPr>
          <w:rFonts w:ascii="Times New Roman" w:cs="Times New Roman" w:hAnsi="Times New Roman"/>
          <w:b/>
          <w:i/>
          <w:sz w:val="24"/>
          <w:szCs w:val="24"/>
        </w:rPr>
        <w:t xml:space="preserve"> </w:t>
      </w:r>
      <w:r>
        <w:rPr>
          <w:rFonts w:ascii="Times New Roman" w:cs="Times New Roman" w:hAnsi="Times New Roman"/>
          <w:b/>
          <w:i/>
          <w:sz w:val="24"/>
          <w:szCs w:val="24"/>
        </w:rPr>
        <w:t>for all time by legisla</w:t>
      </w:r>
      <w:r>
        <w:rPr>
          <w:rFonts w:ascii="Times New Roman" w:cs="Times New Roman" w:hAnsi="Times New Roman"/>
          <w:b/>
          <w:i/>
          <w:sz w:val="24"/>
          <w:szCs w:val="24"/>
        </w:rPr>
        <w:t>tive action proscribing polygamy.”</w:t>
      </w:r>
    </w:p>
    <w:p>
      <w:pPr>
        <w:pStyle w:val="style0"/>
        <w:autoSpaceDE w:val="false"/>
        <w:autoSpaceDN w:val="false"/>
        <w:adjustRightInd w:val="false"/>
        <w:spacing w:after="0" w:lineRule="auto" w:line="360"/>
        <w:jc w:val="center"/>
        <w:rPr>
          <w:rFonts w:ascii="Times New Roman" w:cs="Times New Roman" w:hAnsi="Times New Roman"/>
          <w:b/>
          <w:sz w:val="24"/>
          <w:szCs w:val="24"/>
        </w:rPr>
      </w:pPr>
    </w:p>
    <w:p>
      <w:pPr>
        <w:pStyle w:val="style0"/>
        <w:autoSpaceDE w:val="false"/>
        <w:autoSpaceDN w:val="false"/>
        <w:adjustRightInd w:val="false"/>
        <w:spacing w:after="0" w:lineRule="auto" w:line="360"/>
        <w:jc w:val="center"/>
        <w:rPr>
          <w:rFonts w:ascii="Times New Roman" w:cs="Times New Roman" w:hAnsi="Times New Roman"/>
          <w:b/>
          <w:sz w:val="24"/>
          <w:szCs w:val="24"/>
        </w:rPr>
      </w:pPr>
    </w:p>
    <w:p>
      <w:pPr>
        <w:pStyle w:val="style0"/>
        <w:autoSpaceDE w:val="false"/>
        <w:autoSpaceDN w:val="false"/>
        <w:adjustRightInd w:val="false"/>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 xml:space="preserve">Courts have consistently held that parties to a polygamous or a potentially polygamous union cannot seek matrimonial relief from the common law. </w:t>
      </w:r>
      <w:r>
        <w:rPr>
          <w:rFonts w:ascii="Times New Roman" w:cs="Times New Roman" w:hAnsi="Times New Roman"/>
          <w:sz w:val="24"/>
          <w:szCs w:val="24"/>
        </w:rPr>
        <w:t>A</w:t>
      </w:r>
      <w:r>
        <w:rPr>
          <w:rFonts w:ascii="Times New Roman" w:cs="Times New Roman" w:hAnsi="Times New Roman"/>
          <w:sz w:val="24"/>
          <w:szCs w:val="24"/>
        </w:rPr>
        <w:t xml:space="preserve">s recently as 1961, the English Court of Appeal in </w:t>
      </w:r>
      <w:r>
        <w:rPr>
          <w:rFonts w:ascii="Times New Roman" w:cs="Times New Roman" w:hAnsi="Times New Roman"/>
          <w:i/>
          <w:sz w:val="24"/>
          <w:szCs w:val="24"/>
        </w:rPr>
        <w:t>Sowa v Sowa</w:t>
      </w:r>
      <w:r>
        <w:rPr>
          <w:rStyle w:val="style38"/>
          <w:rFonts w:ascii="Times New Roman" w:cs="Times New Roman" w:hAnsi="Times New Roman"/>
          <w:sz w:val="24"/>
          <w:szCs w:val="24"/>
        </w:rPr>
        <w:footnoteReference w:id="13"/>
      </w:r>
      <w:r>
        <w:rPr>
          <w:rFonts w:ascii="Times New Roman" w:cs="Times New Roman" w:hAnsi="Times New Roman"/>
          <w:i/>
          <w:sz w:val="24"/>
          <w:szCs w:val="24"/>
        </w:rPr>
        <w:t xml:space="preserve"> </w:t>
      </w:r>
      <w:r>
        <w:rPr>
          <w:rFonts w:ascii="Times New Roman" w:cs="Times New Roman" w:hAnsi="Times New Roman"/>
          <w:sz w:val="24"/>
          <w:szCs w:val="24"/>
        </w:rPr>
        <w:t xml:space="preserve">observed that “if the ceremony is polygamous then it does not come within the word ‘marriage’ for the purposes of the Acts relating to matrimonial matters, nor do the parties to it come within the words ‘wife’, ‘married woman’ or ‘husband’. In many </w:t>
      </w:r>
      <w:r>
        <w:rPr>
          <w:rFonts w:ascii="Times New Roman" w:cs="Times New Roman" w:hAnsi="Times New Roman"/>
          <w:sz w:val="24"/>
          <w:szCs w:val="24"/>
        </w:rPr>
        <w:t xml:space="preserve">decisions following </w:t>
      </w:r>
      <w:r>
        <w:rPr>
          <w:rFonts w:ascii="Times New Roman" w:cs="Times New Roman" w:hAnsi="Times New Roman"/>
          <w:i/>
          <w:sz w:val="24"/>
          <w:szCs w:val="24"/>
        </w:rPr>
        <w:t>Hyde v Hyde</w:t>
      </w:r>
      <w:r>
        <w:rPr>
          <w:rFonts w:ascii="Times New Roman" w:cs="Times New Roman" w:hAnsi="Times New Roman"/>
          <w:i/>
          <w:sz w:val="24"/>
          <w:szCs w:val="24"/>
        </w:rPr>
        <w:t>,</w:t>
      </w:r>
      <w:r>
        <w:rPr>
          <w:rStyle w:val="style38"/>
          <w:rFonts w:ascii="Times New Roman" w:cs="Times New Roman" w:hAnsi="Times New Roman"/>
          <w:sz w:val="24"/>
          <w:szCs w:val="24"/>
        </w:rPr>
        <w:footnoteReference w:id="14"/>
      </w:r>
      <w:r>
        <w:rPr>
          <w:rFonts w:ascii="Times New Roman" w:cs="Times New Roman" w:hAnsi="Times New Roman"/>
          <w:sz w:val="24"/>
          <w:szCs w:val="24"/>
        </w:rPr>
        <w:t xml:space="preserve"> the courts have often expressed regret that an innocent but victimized party had to be denied relief only because the character of the marriage in question was polygamous. However, commencing with an opinion tendered by </w:t>
      </w:r>
      <w:r>
        <w:rPr>
          <w:rFonts w:ascii="Times New Roman" w:cs="Times New Roman" w:hAnsi="Times New Roman"/>
          <w:b/>
          <w:i/>
          <w:sz w:val="24"/>
          <w:szCs w:val="24"/>
        </w:rPr>
        <w:t>Lord Maugham</w:t>
      </w:r>
      <w:r>
        <w:rPr>
          <w:rFonts w:ascii="Times New Roman" w:cs="Times New Roman" w:hAnsi="Times New Roman"/>
          <w:sz w:val="24"/>
          <w:szCs w:val="24"/>
        </w:rPr>
        <w:t xml:space="preserve"> to the Committee of Privileges in the </w:t>
      </w:r>
      <w:r>
        <w:rPr>
          <w:rFonts w:ascii="Times New Roman" w:cs="Times New Roman" w:hAnsi="Times New Roman"/>
          <w:i/>
          <w:sz w:val="24"/>
          <w:szCs w:val="24"/>
        </w:rPr>
        <w:t>Sinha Peerage case</w:t>
      </w:r>
      <w:r>
        <w:rPr>
          <w:rFonts w:ascii="Times New Roman" w:cs="Times New Roman" w:hAnsi="Times New Roman"/>
          <w:i/>
          <w:sz w:val="24"/>
          <w:szCs w:val="24"/>
        </w:rPr>
        <w:t>,</w:t>
      </w:r>
      <w:r>
        <w:rPr>
          <w:rStyle w:val="style38"/>
          <w:rFonts w:ascii="Times New Roman" w:cs="Times New Roman" w:hAnsi="Times New Roman"/>
          <w:i/>
          <w:sz w:val="24"/>
          <w:szCs w:val="24"/>
        </w:rPr>
        <w:footnoteReference w:id="15"/>
      </w:r>
      <w:r>
        <w:rPr>
          <w:rFonts w:ascii="Times New Roman" w:cs="Times New Roman" w:hAnsi="Times New Roman"/>
          <w:sz w:val="24"/>
          <w:szCs w:val="24"/>
        </w:rPr>
        <w:t xml:space="preserve"> decisions developed around the principle that notwithstanding the fact that a marriage may be potentially polygamous at its inception, it could subsequently become converted or mutated into a monogamous marriage for the purpose of attracting the matrimonial relief available under the English common law.   </w:t>
      </w:r>
    </w:p>
    <w:p>
      <w:pPr>
        <w:pStyle w:val="style0"/>
        <w:autoSpaceDE w:val="false"/>
        <w:autoSpaceDN w:val="false"/>
        <w:adjustRightInd w:val="false"/>
        <w:spacing w:after="0" w:lineRule="auto" w:line="360"/>
        <w:ind w:firstLine="720"/>
        <w:rPr>
          <w:rFonts w:ascii="Times New Roman" w:cs="Times New Roman" w:hAnsi="Times New Roman"/>
          <w:sz w:val="24"/>
          <w:szCs w:val="24"/>
        </w:rPr>
      </w:pPr>
      <w:r>
        <w:rPr>
          <w:rFonts w:ascii="Times New Roman" w:cs="Times New Roman" w:hAnsi="Times New Roman"/>
          <w:sz w:val="24"/>
          <w:szCs w:val="24"/>
        </w:rPr>
        <w:t>Cumming-Bruce, J.</w:t>
      </w:r>
      <w:r>
        <w:rPr>
          <w:rFonts w:ascii="Times New Roman" w:cs="Times New Roman" w:hAnsi="Times New Roman"/>
          <w:sz w:val="24"/>
          <w:szCs w:val="24"/>
        </w:rPr>
        <w:t xml:space="preserve">, from the case of </w:t>
      </w:r>
      <w:r>
        <w:rPr>
          <w:rFonts w:ascii="Times New Roman" w:cs="Times New Roman" w:hAnsi="Times New Roman"/>
          <w:i/>
          <w:sz w:val="24"/>
          <w:szCs w:val="24"/>
        </w:rPr>
        <w:t>Ali v Ali,</w:t>
      </w:r>
      <w:r>
        <w:rPr>
          <w:rStyle w:val="style38"/>
          <w:rFonts w:ascii="Times New Roman" w:cs="Times New Roman" w:hAnsi="Times New Roman"/>
          <w:i/>
          <w:sz w:val="24"/>
          <w:szCs w:val="24"/>
        </w:rPr>
        <w:footnoteReference w:id="16"/>
      </w:r>
      <w:r>
        <w:rPr>
          <w:rFonts w:ascii="Times New Roman" w:cs="Times New Roman" w:hAnsi="Times New Roman"/>
          <w:sz w:val="24"/>
          <w:szCs w:val="24"/>
        </w:rPr>
        <w:t xml:space="preserve"> </w:t>
      </w:r>
      <w:r>
        <w:rPr>
          <w:rFonts w:ascii="Times New Roman" w:cs="Times New Roman" w:hAnsi="Times New Roman"/>
          <w:sz w:val="24"/>
          <w:szCs w:val="24"/>
        </w:rPr>
        <w:t>went on to consider the important question of whether</w:t>
      </w:r>
      <w:r>
        <w:rPr>
          <w:rFonts w:ascii="Times New Roman" w:cs="Times New Roman" w:hAnsi="Times New Roman"/>
          <w:sz w:val="24"/>
          <w:szCs w:val="24"/>
        </w:rPr>
        <w:t xml:space="preserve"> </w:t>
      </w:r>
      <w:r>
        <w:rPr>
          <w:rFonts w:ascii="Times New Roman" w:cs="Times New Roman" w:hAnsi="Times New Roman"/>
          <w:sz w:val="24"/>
          <w:szCs w:val="24"/>
        </w:rPr>
        <w:t>the acquisition of an English domicile</w:t>
      </w:r>
      <w:r>
        <w:rPr>
          <w:rFonts w:ascii="Times New Roman" w:cs="Times New Roman" w:hAnsi="Times New Roman"/>
          <w:sz w:val="24"/>
          <w:szCs w:val="24"/>
        </w:rPr>
        <w:t xml:space="preserve"> had the effect of impressing a </w:t>
      </w:r>
      <w:r>
        <w:rPr>
          <w:rFonts w:ascii="Times New Roman" w:cs="Times New Roman" w:hAnsi="Times New Roman"/>
          <w:sz w:val="24"/>
          <w:szCs w:val="24"/>
        </w:rPr>
        <w:t>monogamous</w:t>
      </w:r>
      <w:r>
        <w:rPr>
          <w:rFonts w:ascii="Times New Roman" w:cs="Times New Roman" w:hAnsi="Times New Roman"/>
          <w:sz w:val="24"/>
          <w:szCs w:val="24"/>
        </w:rPr>
        <w:t xml:space="preserve"> </w:t>
      </w:r>
      <w:r>
        <w:rPr>
          <w:rFonts w:ascii="Times New Roman" w:cs="Times New Roman" w:hAnsi="Times New Roman"/>
          <w:sz w:val="24"/>
          <w:szCs w:val="24"/>
        </w:rPr>
        <w:t>character on the potentially polygamous marriage. His Lordship relied</w:t>
      </w:r>
      <w:r>
        <w:rPr>
          <w:rFonts w:ascii="Times New Roman" w:cs="Times New Roman" w:hAnsi="Times New Roman"/>
          <w:sz w:val="24"/>
          <w:szCs w:val="24"/>
        </w:rPr>
        <w:t xml:space="preserve"> </w:t>
      </w:r>
      <w:r>
        <w:rPr>
          <w:rFonts w:ascii="Times New Roman" w:cs="Times New Roman" w:hAnsi="Times New Roman"/>
          <w:sz w:val="24"/>
          <w:szCs w:val="24"/>
        </w:rPr>
        <w:t xml:space="preserve">on the dictum of </w:t>
      </w:r>
      <w:r>
        <w:rPr>
          <w:rFonts w:ascii="Times New Roman" w:cs="Times New Roman" w:hAnsi="Times New Roman"/>
          <w:b/>
          <w:i/>
          <w:sz w:val="24"/>
          <w:szCs w:val="24"/>
        </w:rPr>
        <w:t>Sir Jocelyn Simon, P.</w:t>
      </w:r>
      <w:r>
        <w:rPr>
          <w:rFonts w:ascii="Times New Roman" w:cs="Times New Roman" w:hAnsi="Times New Roman"/>
          <w:sz w:val="24"/>
          <w:szCs w:val="24"/>
        </w:rPr>
        <w:t xml:space="preserve"> in </w:t>
      </w:r>
      <w:r>
        <w:rPr>
          <w:rFonts w:ascii="Times New Roman" w:cs="Times New Roman" w:hAnsi="Times New Roman"/>
          <w:bCs/>
          <w:i/>
          <w:iCs/>
          <w:sz w:val="24"/>
          <w:szCs w:val="24"/>
        </w:rPr>
        <w:t>Ch</w:t>
      </w:r>
      <w:r>
        <w:rPr>
          <w:rFonts w:ascii="Times New Roman" w:cs="Times New Roman" w:hAnsi="Times New Roman"/>
          <w:bCs/>
          <w:i/>
          <w:iCs/>
          <w:sz w:val="24"/>
          <w:szCs w:val="24"/>
        </w:rPr>
        <w:t>e</w:t>
      </w:r>
      <w:r>
        <w:rPr>
          <w:rFonts w:ascii="Times New Roman" w:cs="Times New Roman" w:hAnsi="Times New Roman"/>
          <w:bCs/>
          <w:i/>
          <w:iCs/>
          <w:sz w:val="24"/>
          <w:szCs w:val="24"/>
        </w:rPr>
        <w:t xml:space="preserve">ni </w:t>
      </w:r>
      <w:r>
        <w:rPr>
          <w:rFonts w:ascii="Times New Roman" w:cs="Times New Roman" w:hAnsi="Times New Roman"/>
          <w:sz w:val="24"/>
          <w:szCs w:val="24"/>
        </w:rPr>
        <w:t xml:space="preserve">v. </w:t>
      </w:r>
      <w:r>
        <w:rPr>
          <w:rFonts w:ascii="Times New Roman" w:cs="Times New Roman" w:hAnsi="Times New Roman"/>
          <w:bCs/>
          <w:i/>
          <w:iCs/>
          <w:sz w:val="24"/>
          <w:szCs w:val="24"/>
        </w:rPr>
        <w:t>Chen</w:t>
      </w:r>
      <w:r>
        <w:rPr>
          <w:rFonts w:ascii="Times New Roman" w:cs="Times New Roman" w:hAnsi="Times New Roman"/>
          <w:bCs/>
          <w:i/>
          <w:iCs/>
          <w:sz w:val="24"/>
          <w:szCs w:val="24"/>
        </w:rPr>
        <w:t>i</w:t>
      </w:r>
      <w:r>
        <w:rPr>
          <w:rStyle w:val="style38"/>
          <w:rFonts w:ascii="Times New Roman" w:cs="Times New Roman" w:hAnsi="Times New Roman"/>
          <w:bCs/>
          <w:i/>
          <w:iCs/>
          <w:sz w:val="24"/>
          <w:szCs w:val="24"/>
        </w:rPr>
        <w:footnoteReference w:id="17"/>
      </w:r>
      <w:r>
        <w:rPr>
          <w:rFonts w:ascii="Times New Roman" w:cs="Times New Roman" w:hAnsi="Times New Roman"/>
          <w:b/>
          <w:bCs/>
          <w:i/>
          <w:iCs/>
          <w:sz w:val="24"/>
          <w:szCs w:val="24"/>
        </w:rPr>
        <w:t xml:space="preserve"> </w:t>
      </w:r>
      <w:r>
        <w:rPr>
          <w:rFonts w:ascii="Times New Roman" w:cs="Times New Roman" w:hAnsi="Times New Roman"/>
          <w:sz w:val="24"/>
          <w:szCs w:val="24"/>
        </w:rPr>
        <w:t>to the effect that</w:t>
      </w:r>
      <w:r>
        <w:rPr>
          <w:rFonts w:ascii="Times New Roman" w:cs="Times New Roman" w:hAnsi="Times New Roman"/>
          <w:sz w:val="24"/>
          <w:szCs w:val="24"/>
        </w:rPr>
        <w:t xml:space="preserve"> </w:t>
      </w:r>
      <w:r>
        <w:rPr>
          <w:rFonts w:ascii="Times New Roman" w:cs="Times New Roman" w:hAnsi="Times New Roman"/>
          <w:sz w:val="24"/>
          <w:szCs w:val="24"/>
        </w:rPr>
        <w:t>change of domicile may be effective to alter the nature of a union. "The chief</w:t>
      </w:r>
      <w:r>
        <w:rPr>
          <w:rFonts w:ascii="Times New Roman" w:cs="Times New Roman" w:hAnsi="Times New Roman"/>
          <w:sz w:val="24"/>
          <w:szCs w:val="24"/>
        </w:rPr>
        <w:t xml:space="preserve"> </w:t>
      </w:r>
      <w:r>
        <w:rPr>
          <w:rFonts w:ascii="Times New Roman" w:cs="Times New Roman" w:hAnsi="Times New Roman"/>
          <w:sz w:val="24"/>
          <w:szCs w:val="24"/>
        </w:rPr>
        <w:t>difficulty" f</w:t>
      </w:r>
      <w:r>
        <w:rPr>
          <w:rFonts w:ascii="Times New Roman" w:cs="Times New Roman" w:hAnsi="Times New Roman"/>
          <w:sz w:val="24"/>
          <w:szCs w:val="24"/>
        </w:rPr>
        <w:t xml:space="preserve">elt by the learned judge was to </w:t>
      </w:r>
      <w:r>
        <w:rPr>
          <w:rFonts w:ascii="Times New Roman" w:cs="Times New Roman" w:hAnsi="Times New Roman"/>
          <w:sz w:val="24"/>
          <w:szCs w:val="24"/>
        </w:rPr>
        <w:t>determine whether change of</w:t>
      </w:r>
      <w:r>
        <w:rPr>
          <w:rFonts w:ascii="Times New Roman" w:cs="Times New Roman" w:hAnsi="Times New Roman"/>
          <w:sz w:val="24"/>
          <w:szCs w:val="24"/>
        </w:rPr>
        <w:t xml:space="preserve"> </w:t>
      </w:r>
      <w:r>
        <w:rPr>
          <w:rFonts w:ascii="Times New Roman" w:cs="Times New Roman" w:hAnsi="Times New Roman"/>
          <w:sz w:val="24"/>
          <w:szCs w:val="24"/>
        </w:rPr>
        <w:t>domicile did more than merely "frust</w:t>
      </w:r>
      <w:r>
        <w:rPr>
          <w:rFonts w:ascii="Times New Roman" w:cs="Times New Roman" w:hAnsi="Times New Roman"/>
          <w:sz w:val="24"/>
          <w:szCs w:val="24"/>
        </w:rPr>
        <w:t xml:space="preserve">rate one of the features of the </w:t>
      </w:r>
      <w:r>
        <w:rPr>
          <w:rFonts w:ascii="Times New Roman" w:cs="Times New Roman" w:hAnsi="Times New Roman"/>
          <w:sz w:val="24"/>
          <w:szCs w:val="24"/>
        </w:rPr>
        <w:t>potentially</w:t>
      </w:r>
      <w:r>
        <w:rPr>
          <w:rFonts w:ascii="Times New Roman" w:cs="Times New Roman" w:hAnsi="Times New Roman"/>
          <w:sz w:val="24"/>
          <w:szCs w:val="24"/>
        </w:rPr>
        <w:t xml:space="preserve"> polygamous union". </w:t>
      </w:r>
      <w:r>
        <w:rPr>
          <w:rFonts w:ascii="Times New Roman" w:cs="Times New Roman" w:hAnsi="Times New Roman"/>
          <w:sz w:val="24"/>
          <w:szCs w:val="24"/>
        </w:rPr>
        <w:t>Regardless</w:t>
      </w:r>
      <w:r>
        <w:rPr>
          <w:rFonts w:ascii="Times New Roman" w:cs="Times New Roman" w:hAnsi="Times New Roman"/>
          <w:sz w:val="24"/>
          <w:szCs w:val="24"/>
        </w:rPr>
        <w:t xml:space="preserve">, </w:t>
      </w:r>
      <w:r>
        <w:rPr>
          <w:rFonts w:ascii="Times New Roman" w:cs="Times New Roman" w:hAnsi="Times New Roman"/>
          <w:i/>
          <w:sz w:val="24"/>
          <w:szCs w:val="24"/>
        </w:rPr>
        <w:t>Ali v. Ali</w:t>
      </w:r>
      <w:r>
        <w:rPr>
          <w:rFonts w:ascii="Times New Roman" w:cs="Times New Roman" w:hAnsi="Times New Roman"/>
          <w:sz w:val="24"/>
          <w:szCs w:val="24"/>
        </w:rPr>
        <w:t xml:space="preserve"> raised</w:t>
      </w:r>
      <w:r>
        <w:rPr>
          <w:rFonts w:ascii="Times New Roman" w:cs="Times New Roman" w:hAnsi="Times New Roman"/>
          <w:sz w:val="24"/>
          <w:szCs w:val="24"/>
        </w:rPr>
        <w:t xml:space="preserve"> a number of questions –</w:t>
      </w:r>
      <w:r>
        <w:rPr>
          <w:rFonts w:ascii="Times New Roman" w:cs="Times New Roman" w:hAnsi="Times New Roman"/>
          <w:sz w:val="24"/>
          <w:szCs w:val="24"/>
        </w:rPr>
        <w:t xml:space="preserve"> F</w:t>
      </w:r>
      <w:r>
        <w:rPr>
          <w:rFonts w:ascii="Times New Roman" w:cs="Times New Roman" w:hAnsi="Times New Roman"/>
          <w:sz w:val="24"/>
          <w:szCs w:val="24"/>
        </w:rPr>
        <w:t>irst of all, whether a law other</w:t>
      </w:r>
      <w:r>
        <w:rPr>
          <w:rFonts w:ascii="Times New Roman" w:cs="Times New Roman" w:hAnsi="Times New Roman"/>
          <w:sz w:val="24"/>
          <w:szCs w:val="24"/>
        </w:rPr>
        <w:t xml:space="preserve"> </w:t>
      </w:r>
      <w:r>
        <w:rPr>
          <w:rFonts w:ascii="Times New Roman" w:cs="Times New Roman" w:hAnsi="Times New Roman"/>
          <w:sz w:val="24"/>
          <w:szCs w:val="24"/>
        </w:rPr>
        <w:t>than the law of the place of celebration</w:t>
      </w:r>
      <w:r>
        <w:rPr>
          <w:rFonts w:ascii="Times New Roman" w:cs="Times New Roman" w:hAnsi="Times New Roman"/>
          <w:sz w:val="24"/>
          <w:szCs w:val="24"/>
        </w:rPr>
        <w:t xml:space="preserve"> can alter the character of the </w:t>
      </w:r>
      <w:r>
        <w:rPr>
          <w:rFonts w:ascii="Times New Roman" w:cs="Times New Roman" w:hAnsi="Times New Roman"/>
          <w:sz w:val="24"/>
          <w:szCs w:val="24"/>
        </w:rPr>
        <w:t>marriage.</w:t>
      </w:r>
      <w:r>
        <w:rPr>
          <w:rFonts w:ascii="Times New Roman" w:cs="Times New Roman" w:hAnsi="Times New Roman"/>
          <w:sz w:val="24"/>
          <w:szCs w:val="24"/>
        </w:rPr>
        <w:t xml:space="preserve"> In this case</w:t>
      </w:r>
      <w:r>
        <w:rPr>
          <w:rFonts w:ascii="Times New Roman" w:cs="Times New Roman" w:hAnsi="Times New Roman"/>
          <w:sz w:val="24"/>
          <w:szCs w:val="24"/>
        </w:rPr>
        <w:t>, the law of a subsequently acquired domicile was held to be</w:t>
      </w:r>
      <w:r>
        <w:rPr>
          <w:rFonts w:ascii="Times New Roman" w:cs="Times New Roman" w:hAnsi="Times New Roman"/>
          <w:sz w:val="24"/>
          <w:szCs w:val="24"/>
        </w:rPr>
        <w:t xml:space="preserve"> </w:t>
      </w:r>
      <w:r>
        <w:rPr>
          <w:rFonts w:ascii="Times New Roman" w:cs="Times New Roman" w:hAnsi="Times New Roman"/>
          <w:sz w:val="24"/>
          <w:szCs w:val="24"/>
        </w:rPr>
        <w:t>relevant in deciding the nature of a marriage at the time of divorce proceedings</w:t>
      </w:r>
      <w:r>
        <w:rPr>
          <w:rFonts w:ascii="Times New Roman" w:cs="Times New Roman" w:hAnsi="Times New Roman"/>
          <w:sz w:val="24"/>
          <w:szCs w:val="24"/>
        </w:rPr>
        <w:t xml:space="preserve"> </w:t>
      </w:r>
      <w:r>
        <w:rPr>
          <w:rFonts w:ascii="Times New Roman" w:cs="Times New Roman" w:hAnsi="Times New Roman"/>
          <w:sz w:val="24"/>
          <w:szCs w:val="24"/>
        </w:rPr>
        <w:t xml:space="preserve">and in displacing the effect of the </w:t>
      </w:r>
      <w:r>
        <w:rPr>
          <w:rFonts w:ascii="Times New Roman" w:cs="Times New Roman" w:hAnsi="Times New Roman"/>
          <w:i/>
          <w:sz w:val="24"/>
          <w:szCs w:val="24"/>
        </w:rPr>
        <w:t>lex</w:t>
      </w:r>
      <w:r>
        <w:rPr>
          <w:rFonts w:ascii="Times New Roman" w:cs="Times New Roman" w:hAnsi="Times New Roman"/>
          <w:i/>
          <w:sz w:val="24"/>
          <w:szCs w:val="24"/>
        </w:rPr>
        <w:t xml:space="preserve"> loci celebrationis</w:t>
      </w:r>
      <w:r>
        <w:rPr>
          <w:rFonts w:ascii="Times New Roman" w:cs="Times New Roman" w:hAnsi="Times New Roman"/>
          <w:sz w:val="24"/>
          <w:szCs w:val="24"/>
        </w:rPr>
        <w:t xml:space="preserve"> rule. In </w:t>
      </w:r>
      <w:r>
        <w:rPr>
          <w:rFonts w:ascii="Times New Roman" w:cs="Times New Roman" w:hAnsi="Times New Roman"/>
          <w:i/>
          <w:sz w:val="24"/>
          <w:szCs w:val="24"/>
        </w:rPr>
        <w:t>Parkasho v.</w:t>
      </w:r>
      <w:r>
        <w:rPr>
          <w:rFonts w:ascii="Times New Roman" w:cs="Times New Roman" w:hAnsi="Times New Roman"/>
          <w:i/>
          <w:sz w:val="24"/>
          <w:szCs w:val="24"/>
        </w:rPr>
        <w:t xml:space="preserve"> Singh</w:t>
      </w:r>
      <w:r>
        <w:rPr>
          <w:rStyle w:val="style38"/>
          <w:rFonts w:ascii="Times New Roman" w:cs="Times New Roman" w:hAnsi="Times New Roman"/>
          <w:sz w:val="24"/>
          <w:szCs w:val="24"/>
        </w:rPr>
        <w:footnoteReference w:id="18"/>
      </w:r>
      <w:r>
        <w:rPr>
          <w:rFonts w:ascii="Times New Roman" w:cs="Times New Roman" w:hAnsi="Times New Roman"/>
          <w:sz w:val="24"/>
          <w:szCs w:val="24"/>
        </w:rPr>
        <w:t>,</w:t>
      </w:r>
      <w:r>
        <w:rPr>
          <w:rFonts w:ascii="Times New Roman" w:cs="Times New Roman" w:hAnsi="Times New Roman"/>
          <w:sz w:val="24"/>
          <w:szCs w:val="24"/>
        </w:rPr>
        <w:t xml:space="preserve"> a change in the </w:t>
      </w:r>
      <w:r>
        <w:rPr>
          <w:rFonts w:ascii="Times New Roman" w:cs="Times New Roman" w:hAnsi="Times New Roman"/>
          <w:i/>
          <w:sz w:val="24"/>
          <w:szCs w:val="24"/>
        </w:rPr>
        <w:t>loci celebrationis</w:t>
      </w:r>
      <w:r>
        <w:rPr>
          <w:rFonts w:ascii="Times New Roman" w:cs="Times New Roman" w:hAnsi="Times New Roman"/>
          <w:sz w:val="24"/>
          <w:szCs w:val="24"/>
        </w:rPr>
        <w:t xml:space="preserve"> which</w:t>
      </w:r>
      <w:r>
        <w:rPr>
          <w:rFonts w:ascii="Times New Roman" w:cs="Times New Roman" w:hAnsi="Times New Roman"/>
          <w:sz w:val="24"/>
          <w:szCs w:val="24"/>
        </w:rPr>
        <w:t xml:space="preserve"> </w:t>
      </w:r>
      <w:r>
        <w:rPr>
          <w:rFonts w:ascii="Times New Roman" w:cs="Times New Roman" w:hAnsi="Times New Roman"/>
          <w:sz w:val="24"/>
          <w:szCs w:val="24"/>
        </w:rPr>
        <w:t>could not have been in the contemplation of the parties at the time of the</w:t>
      </w:r>
      <w:r>
        <w:rPr>
          <w:rFonts w:ascii="Times New Roman" w:cs="Times New Roman" w:hAnsi="Times New Roman"/>
          <w:sz w:val="24"/>
          <w:szCs w:val="24"/>
        </w:rPr>
        <w:t xml:space="preserve"> marriage, was </w:t>
      </w:r>
      <w:r>
        <w:rPr>
          <w:rFonts w:ascii="Times New Roman" w:cs="Times New Roman" w:hAnsi="Times New Roman"/>
          <w:sz w:val="24"/>
          <w:szCs w:val="24"/>
        </w:rPr>
        <w:t>held to affec</w:t>
      </w:r>
      <w:r>
        <w:rPr>
          <w:rFonts w:ascii="Times New Roman" w:cs="Times New Roman" w:hAnsi="Times New Roman"/>
          <w:sz w:val="24"/>
          <w:szCs w:val="24"/>
        </w:rPr>
        <w:t>t the nature of that marriage; S</w:t>
      </w:r>
      <w:r>
        <w:rPr>
          <w:rFonts w:ascii="Times New Roman" w:cs="Times New Roman" w:hAnsi="Times New Roman"/>
          <w:sz w:val="24"/>
          <w:szCs w:val="24"/>
        </w:rPr>
        <w:t>econdly, is an</w:t>
      </w:r>
      <w:r>
        <w:rPr>
          <w:rFonts w:ascii="Times New Roman" w:cs="Times New Roman" w:hAnsi="Times New Roman"/>
          <w:sz w:val="24"/>
          <w:szCs w:val="24"/>
        </w:rPr>
        <w:t xml:space="preserve"> </w:t>
      </w:r>
      <w:r>
        <w:rPr>
          <w:rFonts w:ascii="Times New Roman" w:cs="Times New Roman" w:hAnsi="Times New Roman"/>
          <w:sz w:val="24"/>
          <w:szCs w:val="24"/>
        </w:rPr>
        <w:t xml:space="preserve">intention on the part of the husband alone </w:t>
      </w:r>
      <w:r>
        <w:rPr>
          <w:rFonts w:ascii="Times New Roman" w:cs="Times New Roman" w:hAnsi="Times New Roman"/>
          <w:sz w:val="24"/>
          <w:szCs w:val="24"/>
        </w:rPr>
        <w:t xml:space="preserve">sufficient </w:t>
      </w:r>
      <w:r>
        <w:rPr>
          <w:rFonts w:ascii="Times New Roman" w:cs="Times New Roman" w:hAnsi="Times New Roman"/>
          <w:bCs/>
          <w:iCs/>
          <w:sz w:val="24"/>
          <w:szCs w:val="24"/>
        </w:rPr>
        <w:t>to</w:t>
      </w:r>
      <w:r>
        <w:rPr>
          <w:rFonts w:ascii="Times New Roman" w:cs="Times New Roman" w:hAnsi="Times New Roman"/>
          <w:b/>
          <w:bCs/>
          <w:i/>
          <w:iCs/>
          <w:sz w:val="24"/>
          <w:szCs w:val="24"/>
        </w:rPr>
        <w:t xml:space="preserve"> </w:t>
      </w:r>
      <w:r>
        <w:rPr>
          <w:rFonts w:ascii="Times New Roman" w:cs="Times New Roman" w:hAnsi="Times New Roman"/>
          <w:sz w:val="24"/>
          <w:szCs w:val="24"/>
        </w:rPr>
        <w:t>alter the character of</w:t>
      </w:r>
      <w:r>
        <w:rPr>
          <w:rFonts w:ascii="Times New Roman" w:cs="Times New Roman" w:hAnsi="Times New Roman"/>
          <w:sz w:val="24"/>
          <w:szCs w:val="24"/>
        </w:rPr>
        <w:t xml:space="preserve"> </w:t>
      </w:r>
      <w:r>
        <w:rPr>
          <w:rFonts w:ascii="Times New Roman" w:cs="Times New Roman" w:hAnsi="Times New Roman"/>
          <w:sz w:val="24"/>
          <w:szCs w:val="24"/>
        </w:rPr>
        <w:t>a union by change of domicile? Or must the change be the result of some</w:t>
      </w:r>
      <w:r>
        <w:rPr>
          <w:rFonts w:ascii="Times New Roman" w:cs="Times New Roman" w:hAnsi="Times New Roman"/>
          <w:sz w:val="24"/>
          <w:szCs w:val="24"/>
        </w:rPr>
        <w:t xml:space="preserve"> </w:t>
      </w:r>
      <w:r>
        <w:rPr>
          <w:rFonts w:ascii="Times New Roman" w:cs="Times New Roman" w:hAnsi="Times New Roman"/>
          <w:sz w:val="24"/>
          <w:szCs w:val="24"/>
        </w:rPr>
        <w:t>bilateral decision before a change will be recognised as effected? It is implicit</w:t>
      </w:r>
      <w:r>
        <w:rPr>
          <w:rFonts w:ascii="Times New Roman" w:cs="Times New Roman" w:hAnsi="Times New Roman"/>
          <w:sz w:val="24"/>
          <w:szCs w:val="24"/>
        </w:rPr>
        <w:t xml:space="preserve"> </w:t>
      </w:r>
      <w:r>
        <w:rPr>
          <w:rFonts w:ascii="Times New Roman" w:cs="Times New Roman" w:hAnsi="Times New Roman"/>
          <w:sz w:val="24"/>
          <w:szCs w:val="24"/>
        </w:rPr>
        <w:t xml:space="preserve">in his Lordship's reasoning in </w:t>
      </w:r>
      <w:r>
        <w:rPr>
          <w:rFonts w:ascii="Times New Roman" w:cs="Times New Roman" w:hAnsi="Times New Roman"/>
          <w:i/>
          <w:sz w:val="24"/>
          <w:szCs w:val="24"/>
        </w:rPr>
        <w:t>Ali v. Ali</w:t>
      </w:r>
      <w:r>
        <w:rPr>
          <w:rStyle w:val="style38"/>
          <w:rFonts w:ascii="Times New Roman" w:cs="Times New Roman" w:hAnsi="Times New Roman"/>
          <w:sz w:val="24"/>
          <w:szCs w:val="24"/>
        </w:rPr>
        <w:footnoteReference w:id="19"/>
      </w:r>
      <w:r>
        <w:rPr>
          <w:rFonts w:ascii="Times New Roman" w:cs="Times New Roman" w:hAnsi="Times New Roman"/>
          <w:sz w:val="24"/>
          <w:szCs w:val="24"/>
        </w:rPr>
        <w:t xml:space="preserve"> that intention on the part of the</w:t>
      </w:r>
      <w:r>
        <w:rPr>
          <w:rFonts w:ascii="Times New Roman" w:cs="Times New Roman" w:hAnsi="Times New Roman"/>
          <w:sz w:val="24"/>
          <w:szCs w:val="24"/>
        </w:rPr>
        <w:t xml:space="preserve"> </w:t>
      </w:r>
      <w:r>
        <w:rPr>
          <w:rFonts w:ascii="Times New Roman" w:cs="Times New Roman" w:hAnsi="Times New Roman"/>
          <w:sz w:val="24"/>
          <w:szCs w:val="24"/>
        </w:rPr>
        <w:t>husband alone to acquire a domicile may be sufficient to alter the nature of</w:t>
      </w:r>
      <w:r>
        <w:rPr>
          <w:rFonts w:ascii="Times New Roman" w:cs="Times New Roman" w:hAnsi="Times New Roman"/>
          <w:sz w:val="24"/>
          <w:szCs w:val="24"/>
        </w:rPr>
        <w:t xml:space="preserve"> </w:t>
      </w:r>
      <w:r>
        <w:rPr>
          <w:rFonts w:ascii="Times New Roman" w:cs="Times New Roman" w:hAnsi="Times New Roman"/>
          <w:sz w:val="24"/>
          <w:szCs w:val="24"/>
        </w:rPr>
        <w:t>the union.</w:t>
      </w:r>
    </w:p>
    <w:p>
      <w:pPr>
        <w:pStyle w:val="style0"/>
        <w:autoSpaceDE w:val="false"/>
        <w:autoSpaceDN w:val="false"/>
        <w:adjustRightInd w:val="false"/>
        <w:spacing w:after="0" w:lineRule="auto" w:line="360"/>
        <w:ind w:firstLine="720"/>
        <w:rPr>
          <w:rFonts w:ascii="Times New Roman" w:cs="Times New Roman" w:hAnsi="Times New Roman"/>
          <w:sz w:val="24"/>
          <w:szCs w:val="24"/>
        </w:rPr>
      </w:pPr>
      <w:r>
        <w:rPr>
          <w:rFonts w:ascii="Times New Roman" w:cs="Times New Roman" w:hAnsi="Times New Roman"/>
          <w:sz w:val="24"/>
          <w:szCs w:val="24"/>
        </w:rPr>
        <w:t xml:space="preserve">Conclusively, </w:t>
      </w:r>
      <w:r>
        <w:rPr>
          <w:rFonts w:ascii="Times New Roman" w:cs="Times New Roman" w:hAnsi="Times New Roman"/>
          <w:b/>
          <w:sz w:val="24"/>
          <w:szCs w:val="24"/>
        </w:rPr>
        <w:t>Dicey</w:t>
      </w:r>
      <w:r>
        <w:rPr>
          <w:rFonts w:ascii="Times New Roman" w:cs="Times New Roman" w:hAnsi="Times New Roman"/>
          <w:sz w:val="24"/>
          <w:szCs w:val="24"/>
        </w:rPr>
        <w:t xml:space="preserve"> and </w:t>
      </w:r>
      <w:r>
        <w:rPr>
          <w:rFonts w:ascii="Times New Roman" w:cs="Times New Roman" w:hAnsi="Times New Roman"/>
          <w:b/>
          <w:sz w:val="24"/>
          <w:szCs w:val="24"/>
        </w:rPr>
        <w:t>Morris</w:t>
      </w:r>
      <w:r>
        <w:rPr>
          <w:rFonts w:ascii="Times New Roman" w:cs="Times New Roman" w:hAnsi="Times New Roman"/>
          <w:sz w:val="24"/>
          <w:szCs w:val="24"/>
        </w:rPr>
        <w:t xml:space="preserve"> succinctly</w:t>
      </w:r>
      <w:r>
        <w:rPr>
          <w:rFonts w:ascii="Times New Roman" w:cs="Times New Roman" w:hAnsi="Times New Roman"/>
          <w:sz w:val="24"/>
          <w:szCs w:val="24"/>
        </w:rPr>
        <w:t xml:space="preserve"> </w:t>
      </w:r>
      <w:r>
        <w:rPr>
          <w:rFonts w:ascii="Times New Roman" w:cs="Times New Roman" w:hAnsi="Times New Roman"/>
          <w:sz w:val="24"/>
          <w:szCs w:val="24"/>
        </w:rPr>
        <w:t>summarize the present law</w:t>
      </w:r>
      <w:r>
        <w:rPr>
          <w:rFonts w:ascii="Times New Roman" w:cs="Times New Roman" w:hAnsi="Times New Roman"/>
          <w:sz w:val="24"/>
          <w:szCs w:val="24"/>
        </w:rPr>
        <w:t xml:space="preserve"> as follows</w:t>
      </w:r>
      <w:r>
        <w:rPr>
          <w:rFonts w:ascii="Times New Roman" w:cs="Times New Roman" w:hAnsi="Times New Roman"/>
          <w:sz w:val="24"/>
          <w:szCs w:val="24"/>
        </w:rPr>
        <w:t>:</w:t>
      </w:r>
    </w:p>
    <w:p>
      <w:pPr>
        <w:pStyle w:val="style0"/>
        <w:autoSpaceDE w:val="false"/>
        <w:autoSpaceDN w:val="false"/>
        <w:adjustRightInd w:val="false"/>
        <w:spacing w:after="0" w:lineRule="auto" w:line="360"/>
        <w:jc w:val="center"/>
        <w:rPr>
          <w:rFonts w:ascii="Times New Roman" w:cs="Times New Roman" w:hAnsi="Times New Roman"/>
          <w:b/>
          <w:sz w:val="24"/>
          <w:szCs w:val="24"/>
        </w:rPr>
      </w:pPr>
      <w:r>
        <w:rPr>
          <w:rFonts w:ascii="Times New Roman" w:cs="Times New Roman" w:hAnsi="Times New Roman"/>
          <w:b/>
          <w:sz w:val="24"/>
          <w:szCs w:val="24"/>
        </w:rPr>
        <w:t>“</w:t>
      </w:r>
      <w:r>
        <w:rPr>
          <w:rFonts w:ascii="Times New Roman" w:cs="Times New Roman" w:hAnsi="Times New Roman"/>
          <w:b/>
          <w:sz w:val="24"/>
          <w:szCs w:val="24"/>
        </w:rPr>
        <w:t xml:space="preserve">The proposition laid down in </w:t>
      </w:r>
      <w:r>
        <w:rPr>
          <w:rFonts w:ascii="Times New Roman" w:cs="Times New Roman" w:hAnsi="Times New Roman"/>
          <w:b/>
          <w:i/>
          <w:iCs/>
          <w:sz w:val="24"/>
          <w:szCs w:val="24"/>
        </w:rPr>
        <w:t xml:space="preserve">Ali v. Ali </w:t>
      </w:r>
      <w:r>
        <w:rPr>
          <w:rFonts w:ascii="Times New Roman" w:cs="Times New Roman" w:hAnsi="Times New Roman"/>
          <w:b/>
          <w:sz w:val="24"/>
          <w:szCs w:val="24"/>
        </w:rPr>
        <w:t>that a potentially polygamous</w:t>
      </w:r>
      <w:r>
        <w:rPr>
          <w:rFonts w:ascii="Times New Roman" w:cs="Times New Roman" w:hAnsi="Times New Roman"/>
          <w:b/>
          <w:sz w:val="24"/>
          <w:szCs w:val="24"/>
        </w:rPr>
        <w:t xml:space="preserve"> </w:t>
      </w:r>
      <w:r>
        <w:rPr>
          <w:rFonts w:ascii="Times New Roman" w:cs="Times New Roman" w:hAnsi="Times New Roman"/>
          <w:b/>
          <w:sz w:val="24"/>
          <w:szCs w:val="24"/>
        </w:rPr>
        <w:t>marriage may become monogamous if the parties acquire an English</w:t>
      </w:r>
      <w:r>
        <w:rPr>
          <w:rFonts w:ascii="Times New Roman" w:cs="Times New Roman" w:hAnsi="Times New Roman"/>
          <w:b/>
          <w:sz w:val="24"/>
          <w:szCs w:val="24"/>
        </w:rPr>
        <w:t xml:space="preserve"> </w:t>
      </w:r>
      <w:r>
        <w:rPr>
          <w:rFonts w:ascii="Times New Roman" w:cs="Times New Roman" w:hAnsi="Times New Roman"/>
          <w:b/>
          <w:sz w:val="24"/>
          <w:szCs w:val="24"/>
        </w:rPr>
        <w:t>domi</w:t>
      </w:r>
      <w:r>
        <w:rPr>
          <w:rFonts w:ascii="Times New Roman" w:cs="Times New Roman" w:hAnsi="Times New Roman"/>
          <w:b/>
          <w:sz w:val="24"/>
          <w:szCs w:val="24"/>
        </w:rPr>
        <w:t xml:space="preserve">cile is a far-reaching one… </w:t>
      </w:r>
      <w:r>
        <w:rPr>
          <w:rFonts w:ascii="Times New Roman" w:cs="Times New Roman" w:hAnsi="Times New Roman"/>
          <w:b/>
          <w:sz w:val="24"/>
          <w:szCs w:val="24"/>
        </w:rPr>
        <w:t>The proposition may not be very logical and is difficult to reconcile</w:t>
      </w:r>
      <w:r>
        <w:rPr>
          <w:rFonts w:ascii="Times New Roman" w:cs="Times New Roman" w:hAnsi="Times New Roman"/>
          <w:b/>
          <w:sz w:val="24"/>
          <w:szCs w:val="24"/>
        </w:rPr>
        <w:t xml:space="preserve"> </w:t>
      </w:r>
      <w:r>
        <w:rPr>
          <w:rFonts w:ascii="Times New Roman" w:cs="Times New Roman" w:hAnsi="Times New Roman"/>
          <w:b/>
          <w:sz w:val="24"/>
          <w:szCs w:val="24"/>
        </w:rPr>
        <w:t xml:space="preserve">with prior authority, notably with </w:t>
      </w:r>
      <w:r>
        <w:rPr>
          <w:rFonts w:ascii="Times New Roman" w:cs="Times New Roman" w:hAnsi="Times New Roman"/>
          <w:b/>
          <w:i/>
          <w:iCs/>
          <w:sz w:val="24"/>
          <w:szCs w:val="24"/>
        </w:rPr>
        <w:t xml:space="preserve">Hyde v. Hyde </w:t>
      </w:r>
      <w:r>
        <w:rPr>
          <w:rFonts w:ascii="Times New Roman" w:cs="Times New Roman" w:hAnsi="Times New Roman"/>
          <w:b/>
          <w:sz w:val="24"/>
          <w:szCs w:val="24"/>
        </w:rPr>
        <w:t>itself. But it is to be</w:t>
      </w:r>
      <w:r>
        <w:rPr>
          <w:rFonts w:ascii="Times New Roman" w:cs="Times New Roman" w:hAnsi="Times New Roman"/>
          <w:b/>
          <w:sz w:val="24"/>
          <w:szCs w:val="24"/>
        </w:rPr>
        <w:t xml:space="preserve"> </w:t>
      </w:r>
      <w:r>
        <w:rPr>
          <w:rFonts w:ascii="Times New Roman" w:cs="Times New Roman" w:hAnsi="Times New Roman"/>
          <w:b/>
          <w:sz w:val="24"/>
          <w:szCs w:val="24"/>
        </w:rPr>
        <w:t>welcomed on practical grounds because it narrowed the scope of that</w:t>
      </w:r>
      <w:r>
        <w:rPr>
          <w:rFonts w:ascii="Times New Roman" w:cs="Times New Roman" w:hAnsi="Times New Roman"/>
          <w:b/>
          <w:sz w:val="24"/>
          <w:szCs w:val="24"/>
        </w:rPr>
        <w:t xml:space="preserve"> </w:t>
      </w:r>
      <w:r>
        <w:rPr>
          <w:rFonts w:ascii="Times New Roman" w:cs="Times New Roman" w:hAnsi="Times New Roman"/>
          <w:b/>
          <w:sz w:val="24"/>
          <w:szCs w:val="24"/>
        </w:rPr>
        <w:t>decision.</w:t>
      </w:r>
    </w:p>
    <w:p>
      <w:pPr>
        <w:pStyle w:val="style0"/>
        <w:autoSpaceDE w:val="false"/>
        <w:autoSpaceDN w:val="false"/>
        <w:adjustRightInd w:val="false"/>
        <w:spacing w:after="0" w:lineRule="auto" w:line="360"/>
        <w:jc w:val="center"/>
        <w:rPr>
          <w:rFonts w:ascii="Times New Roman" w:cs="Times New Roman" w:hAnsi="Times New Roman"/>
          <w:b/>
          <w:sz w:val="24"/>
          <w:szCs w:val="24"/>
        </w:rPr>
      </w:pPr>
      <w:r>
        <w:rPr>
          <w:rFonts w:ascii="Times New Roman" w:cs="Times New Roman" w:hAnsi="Times New Roman"/>
          <w:b/>
          <w:sz w:val="24"/>
          <w:szCs w:val="24"/>
        </w:rPr>
        <w:t>In all these cases of conversion, the marriage was only potentially polygamous;</w:t>
      </w:r>
      <w:r>
        <w:rPr>
          <w:rFonts w:ascii="Times New Roman" w:cs="Times New Roman" w:hAnsi="Times New Roman"/>
          <w:b/>
          <w:sz w:val="24"/>
          <w:szCs w:val="24"/>
        </w:rPr>
        <w:t xml:space="preserve"> </w:t>
      </w:r>
      <w:r>
        <w:rPr>
          <w:rFonts w:ascii="Times New Roman" w:cs="Times New Roman" w:hAnsi="Times New Roman"/>
          <w:b/>
          <w:sz w:val="24"/>
          <w:szCs w:val="24"/>
        </w:rPr>
        <w:t>but there seems no reason why their principle should not be</w:t>
      </w:r>
      <w:r>
        <w:rPr>
          <w:rFonts w:ascii="Times New Roman" w:cs="Times New Roman" w:hAnsi="Times New Roman"/>
          <w:b/>
          <w:sz w:val="24"/>
          <w:szCs w:val="24"/>
        </w:rPr>
        <w:t xml:space="preserve"> </w:t>
      </w:r>
      <w:r>
        <w:rPr>
          <w:rFonts w:ascii="Times New Roman" w:cs="Times New Roman" w:hAnsi="Times New Roman"/>
          <w:b/>
          <w:sz w:val="24"/>
          <w:szCs w:val="24"/>
        </w:rPr>
        <w:t>equally effective to convert an actually polygamous marriage into a</w:t>
      </w:r>
      <w:r>
        <w:rPr>
          <w:rFonts w:ascii="Times New Roman" w:cs="Times New Roman" w:hAnsi="Times New Roman"/>
          <w:b/>
          <w:sz w:val="24"/>
          <w:szCs w:val="24"/>
        </w:rPr>
        <w:t xml:space="preserve"> </w:t>
      </w:r>
      <w:r>
        <w:rPr>
          <w:rFonts w:ascii="Times New Roman" w:cs="Times New Roman" w:hAnsi="Times New Roman"/>
          <w:b/>
          <w:sz w:val="24"/>
          <w:szCs w:val="24"/>
        </w:rPr>
        <w:t>monogamous one, after the number of wives has been reduced to one</w:t>
      </w:r>
      <w:r>
        <w:rPr>
          <w:rFonts w:ascii="Times New Roman" w:cs="Times New Roman" w:hAnsi="Times New Roman"/>
          <w:b/>
          <w:sz w:val="24"/>
          <w:szCs w:val="24"/>
        </w:rPr>
        <w:t xml:space="preserve"> </w:t>
      </w:r>
      <w:r>
        <w:rPr>
          <w:rFonts w:ascii="Times New Roman" w:cs="Times New Roman" w:hAnsi="Times New Roman"/>
          <w:b/>
          <w:sz w:val="24"/>
          <w:szCs w:val="24"/>
        </w:rPr>
        <w:t>by death or otherwise.</w:t>
      </w:r>
    </w:p>
    <w:p>
      <w:pPr>
        <w:pStyle w:val="style0"/>
        <w:autoSpaceDE w:val="false"/>
        <w:autoSpaceDN w:val="false"/>
        <w:adjustRightInd w:val="false"/>
        <w:spacing w:after="0" w:lineRule="auto" w:line="360"/>
        <w:jc w:val="center"/>
        <w:rPr>
          <w:rFonts w:ascii="Times New Roman" w:cs="Times New Roman" w:hAnsi="Times New Roman"/>
          <w:b/>
          <w:sz w:val="24"/>
          <w:szCs w:val="24"/>
        </w:rPr>
      </w:pPr>
      <w:r>
        <w:rPr>
          <w:rFonts w:ascii="Times New Roman" w:cs="Times New Roman" w:hAnsi="Times New Roman"/>
          <w:b/>
          <w:sz w:val="24"/>
          <w:szCs w:val="24"/>
        </w:rPr>
        <w:t>There is no English authority on the converse problem, namely, can a</w:t>
      </w:r>
      <w:r>
        <w:rPr>
          <w:rFonts w:ascii="Times New Roman" w:cs="Times New Roman" w:hAnsi="Times New Roman"/>
          <w:b/>
          <w:sz w:val="24"/>
          <w:szCs w:val="24"/>
        </w:rPr>
        <w:t xml:space="preserve"> </w:t>
      </w:r>
      <w:r>
        <w:rPr>
          <w:rFonts w:ascii="Times New Roman" w:cs="Times New Roman" w:hAnsi="Times New Roman"/>
          <w:b/>
          <w:sz w:val="24"/>
          <w:szCs w:val="24"/>
        </w:rPr>
        <w:t>monogamous marriage be con</w:t>
      </w:r>
      <w:r>
        <w:rPr>
          <w:rFonts w:ascii="Times New Roman" w:cs="Times New Roman" w:hAnsi="Times New Roman"/>
          <w:b/>
          <w:sz w:val="24"/>
          <w:szCs w:val="24"/>
        </w:rPr>
        <w:t xml:space="preserve">verted into a polygamous one... </w:t>
      </w:r>
      <w:r>
        <w:rPr>
          <w:rFonts w:ascii="Times New Roman" w:cs="Times New Roman" w:hAnsi="Times New Roman"/>
          <w:b/>
          <w:sz w:val="24"/>
          <w:szCs w:val="24"/>
        </w:rPr>
        <w:t>The</w:t>
      </w:r>
      <w:r>
        <w:rPr>
          <w:rFonts w:ascii="Times New Roman" w:cs="Times New Roman" w:hAnsi="Times New Roman"/>
          <w:b/>
          <w:sz w:val="24"/>
          <w:szCs w:val="24"/>
        </w:rPr>
        <w:t xml:space="preserve"> </w:t>
      </w:r>
      <w:r>
        <w:rPr>
          <w:rFonts w:ascii="Times New Roman" w:cs="Times New Roman" w:hAnsi="Times New Roman"/>
          <w:b/>
          <w:sz w:val="24"/>
          <w:szCs w:val="24"/>
        </w:rPr>
        <w:t>answer may be that the marriage has, so to speak, the benefit of the</w:t>
      </w:r>
      <w:r>
        <w:rPr>
          <w:rFonts w:ascii="Times New Roman" w:cs="Times New Roman" w:hAnsi="Times New Roman"/>
          <w:b/>
          <w:sz w:val="24"/>
          <w:szCs w:val="24"/>
        </w:rPr>
        <w:t xml:space="preserve"> </w:t>
      </w:r>
      <w:r>
        <w:rPr>
          <w:rFonts w:ascii="Times New Roman" w:cs="Times New Roman" w:hAnsi="Times New Roman"/>
          <w:b/>
          <w:sz w:val="24"/>
          <w:szCs w:val="24"/>
        </w:rPr>
        <w:t>doubt: if it is monogamous at its inception, it remains monogamous</w:t>
      </w:r>
      <w:r>
        <w:rPr>
          <w:rFonts w:ascii="Times New Roman" w:cs="Times New Roman" w:hAnsi="Times New Roman"/>
          <w:b/>
          <w:sz w:val="24"/>
          <w:szCs w:val="24"/>
        </w:rPr>
        <w:t xml:space="preserve"> </w:t>
      </w:r>
      <w:r>
        <w:rPr>
          <w:rFonts w:ascii="Times New Roman" w:cs="Times New Roman" w:hAnsi="Times New Roman"/>
          <w:b/>
          <w:sz w:val="24"/>
          <w:szCs w:val="24"/>
        </w:rPr>
        <w:t>although a change of religion or of domicile may entitle the husband to</w:t>
      </w:r>
      <w:r>
        <w:rPr>
          <w:rFonts w:ascii="Times New Roman" w:cs="Times New Roman" w:hAnsi="Times New Roman"/>
          <w:b/>
          <w:sz w:val="24"/>
          <w:szCs w:val="24"/>
        </w:rPr>
        <w:t xml:space="preserve"> </w:t>
      </w:r>
      <w:r>
        <w:rPr>
          <w:rFonts w:ascii="Times New Roman" w:cs="Times New Roman" w:hAnsi="Times New Roman"/>
          <w:b/>
          <w:sz w:val="24"/>
          <w:szCs w:val="24"/>
        </w:rPr>
        <w:t>take another wife; if it is polygamous at its inception, it may become</w:t>
      </w:r>
      <w:r>
        <w:rPr>
          <w:rFonts w:ascii="Times New Roman" w:cs="Times New Roman" w:hAnsi="Times New Roman"/>
          <w:b/>
          <w:sz w:val="24"/>
          <w:szCs w:val="24"/>
        </w:rPr>
        <w:t xml:space="preserve"> </w:t>
      </w:r>
      <w:r>
        <w:rPr>
          <w:rFonts w:ascii="Times New Roman" w:cs="Times New Roman" w:hAnsi="Times New Roman"/>
          <w:b/>
          <w:sz w:val="24"/>
          <w:szCs w:val="24"/>
        </w:rPr>
        <w:t>monogamous by reason of a change of religion, of domicile, or of law before the happening of the events which give rise to the proceedings...</w:t>
      </w:r>
      <w:r>
        <w:rPr>
          <w:rStyle w:val="style38"/>
          <w:rFonts w:ascii="Times New Roman" w:cs="Times New Roman" w:hAnsi="Times New Roman"/>
          <w:b/>
          <w:sz w:val="24"/>
          <w:szCs w:val="24"/>
        </w:rPr>
        <w:footnoteReference w:id="20"/>
      </w:r>
      <w:r>
        <w:rPr>
          <w:rFonts w:ascii="Times New Roman" w:cs="Times New Roman" w:hAnsi="Times New Roman"/>
          <w:b/>
          <w:sz w:val="24"/>
          <w:szCs w:val="24"/>
        </w:rPr>
        <w:t>”</w:t>
      </w:r>
    </w:p>
    <w:p>
      <w:pPr>
        <w:pStyle w:val="style0"/>
        <w:autoSpaceDE w:val="false"/>
        <w:autoSpaceDN w:val="false"/>
        <w:adjustRightInd w:val="false"/>
        <w:spacing w:after="0" w:lineRule="auto" w:line="360"/>
        <w:ind w:firstLine="720"/>
        <w:jc w:val="both"/>
        <w:rPr>
          <w:rFonts w:ascii="Times New Roman" w:cs="Times New Roman" w:hAnsi="Times New Roman"/>
          <w:sz w:val="24"/>
          <w:szCs w:val="24"/>
        </w:rPr>
      </w:pPr>
    </w:p>
    <w:p>
      <w:pPr>
        <w:pStyle w:val="style0"/>
        <w:autoSpaceDE w:val="false"/>
        <w:autoSpaceDN w:val="false"/>
        <w:adjustRightInd w:val="false"/>
        <w:spacing w:after="0" w:lineRule="auto" w:line="360"/>
        <w:ind w:firstLine="720"/>
        <w:jc w:val="both"/>
        <w:rPr>
          <w:rFonts w:ascii="Times New Roman" w:cs="Times New Roman" w:hAnsi="Times New Roman"/>
          <w:iCs/>
          <w:sz w:val="24"/>
          <w:szCs w:val="24"/>
        </w:rPr>
      </w:pPr>
      <w:r>
        <w:rPr>
          <w:rFonts w:ascii="Times New Roman" w:cs="Times New Roman" w:hAnsi="Times New Roman"/>
          <w:sz w:val="24"/>
          <w:szCs w:val="24"/>
        </w:rPr>
        <w:t xml:space="preserve">As </w:t>
      </w:r>
      <w:r>
        <w:rPr>
          <w:rFonts w:ascii="Times New Roman" w:cs="Times New Roman" w:hAnsi="Times New Roman"/>
          <w:b/>
          <w:sz w:val="24"/>
          <w:szCs w:val="24"/>
        </w:rPr>
        <w:t>Dicey</w:t>
      </w:r>
      <w:r>
        <w:rPr>
          <w:rFonts w:ascii="Times New Roman" w:cs="Times New Roman" w:hAnsi="Times New Roman"/>
          <w:sz w:val="24"/>
          <w:szCs w:val="24"/>
        </w:rPr>
        <w:t xml:space="preserve"> has said, matrimonial relief in these cases of</w:t>
      </w:r>
      <w:r>
        <w:rPr>
          <w:rFonts w:ascii="Times New Roman" w:cs="Times New Roman" w:hAnsi="Times New Roman"/>
          <w:sz w:val="24"/>
          <w:szCs w:val="24"/>
        </w:rPr>
        <w:t xml:space="preserve"> </w:t>
      </w:r>
      <w:r>
        <w:rPr>
          <w:rFonts w:ascii="Times New Roman" w:cs="Times New Roman" w:hAnsi="Times New Roman"/>
          <w:sz w:val="24"/>
          <w:szCs w:val="24"/>
        </w:rPr>
        <w:t>conversion is restricted to instances where the marriage has remained</w:t>
      </w:r>
      <w:r>
        <w:rPr>
          <w:rFonts w:ascii="Times New Roman" w:cs="Times New Roman" w:hAnsi="Times New Roman"/>
          <w:sz w:val="24"/>
          <w:szCs w:val="24"/>
        </w:rPr>
        <w:t xml:space="preserve"> </w:t>
      </w:r>
      <w:r>
        <w:rPr>
          <w:rFonts w:ascii="Times New Roman" w:cs="Times New Roman" w:hAnsi="Times New Roman"/>
          <w:sz w:val="24"/>
          <w:szCs w:val="24"/>
        </w:rPr>
        <w:t>merely potentially polygamous and has not actually become</w:t>
      </w:r>
      <w:r>
        <w:rPr>
          <w:rFonts w:ascii="Times New Roman" w:cs="Times New Roman" w:hAnsi="Times New Roman"/>
          <w:sz w:val="24"/>
          <w:szCs w:val="24"/>
        </w:rPr>
        <w:t xml:space="preserve"> </w:t>
      </w:r>
      <w:r>
        <w:rPr>
          <w:rFonts w:ascii="Times New Roman" w:cs="Times New Roman" w:hAnsi="Times New Roman"/>
          <w:sz w:val="24"/>
          <w:szCs w:val="24"/>
        </w:rPr>
        <w:t>polygamous. In the latter instance, Dicey believed that the parties</w:t>
      </w:r>
      <w:r>
        <w:rPr>
          <w:rFonts w:ascii="Times New Roman" w:cs="Times New Roman" w:hAnsi="Times New Roman"/>
          <w:sz w:val="24"/>
          <w:szCs w:val="24"/>
        </w:rPr>
        <w:t xml:space="preserve"> </w:t>
      </w:r>
      <w:r>
        <w:rPr>
          <w:rFonts w:ascii="Times New Roman" w:cs="Times New Roman" w:hAnsi="Times New Roman"/>
          <w:sz w:val="24"/>
          <w:szCs w:val="24"/>
        </w:rPr>
        <w:t>might be required to delay their petitions to court until the number</w:t>
      </w:r>
      <w:r>
        <w:rPr>
          <w:rFonts w:ascii="Times New Roman" w:cs="Times New Roman" w:hAnsi="Times New Roman"/>
          <w:sz w:val="24"/>
          <w:szCs w:val="24"/>
        </w:rPr>
        <w:t xml:space="preserve"> </w:t>
      </w:r>
      <w:r>
        <w:rPr>
          <w:rFonts w:ascii="Times New Roman" w:cs="Times New Roman" w:hAnsi="Times New Roman"/>
          <w:sz w:val="24"/>
          <w:szCs w:val="24"/>
        </w:rPr>
        <w:t>of polygamous wives was reduced to one, by death or extra-judicial</w:t>
      </w:r>
      <w:r>
        <w:rPr>
          <w:rFonts w:ascii="Times New Roman" w:cs="Times New Roman" w:hAnsi="Times New Roman"/>
          <w:sz w:val="24"/>
          <w:szCs w:val="24"/>
        </w:rPr>
        <w:t xml:space="preserve"> </w:t>
      </w:r>
      <w:r>
        <w:rPr>
          <w:rFonts w:ascii="Times New Roman" w:cs="Times New Roman" w:hAnsi="Times New Roman"/>
          <w:sz w:val="24"/>
          <w:szCs w:val="24"/>
        </w:rPr>
        <w:t>divorce of the others. In that sense</w:t>
      </w:r>
      <w:r>
        <w:rPr>
          <w:rFonts w:ascii="Times New Roman" w:cs="Times New Roman" w:hAnsi="Times New Roman"/>
          <w:sz w:val="24"/>
          <w:szCs w:val="24"/>
        </w:rPr>
        <w:t>,</w:t>
      </w:r>
      <w:r>
        <w:rPr>
          <w:rFonts w:ascii="Times New Roman" w:cs="Times New Roman" w:hAnsi="Times New Roman"/>
          <w:sz w:val="24"/>
          <w:szCs w:val="24"/>
        </w:rPr>
        <w:t xml:space="preserve"> there is a practical limitation</w:t>
      </w:r>
      <w:r>
        <w:rPr>
          <w:rFonts w:ascii="Times New Roman" w:cs="Times New Roman" w:hAnsi="Times New Roman"/>
          <w:sz w:val="24"/>
          <w:szCs w:val="24"/>
        </w:rPr>
        <w:t xml:space="preserve"> </w:t>
      </w:r>
      <w:r>
        <w:rPr>
          <w:rFonts w:ascii="Times New Roman" w:cs="Times New Roman" w:hAnsi="Times New Roman"/>
          <w:sz w:val="24"/>
          <w:szCs w:val="24"/>
        </w:rPr>
        <w:t>placed upon the application of this principle. In any event, this</w:t>
      </w:r>
      <w:r>
        <w:rPr>
          <w:rFonts w:ascii="Times New Roman" w:cs="Times New Roman" w:hAnsi="Times New Roman"/>
          <w:sz w:val="24"/>
          <w:szCs w:val="24"/>
        </w:rPr>
        <w:t xml:space="preserve"> </w:t>
      </w:r>
      <w:r>
        <w:rPr>
          <w:rFonts w:ascii="Times New Roman" w:cs="Times New Roman" w:hAnsi="Times New Roman"/>
          <w:sz w:val="24"/>
          <w:szCs w:val="24"/>
        </w:rPr>
        <w:t>appears to be the only effective inroad which the common law</w:t>
      </w:r>
      <w:r>
        <w:rPr>
          <w:rFonts w:ascii="Times New Roman" w:cs="Times New Roman" w:hAnsi="Times New Roman"/>
          <w:sz w:val="24"/>
          <w:szCs w:val="24"/>
        </w:rPr>
        <w:t xml:space="preserve"> </w:t>
      </w:r>
      <w:r>
        <w:rPr>
          <w:rFonts w:ascii="Times New Roman" w:cs="Times New Roman" w:hAnsi="Times New Roman"/>
          <w:sz w:val="24"/>
          <w:szCs w:val="24"/>
        </w:rPr>
        <w:t xml:space="preserve">courts have made on the rigorous rule in </w:t>
      </w:r>
      <w:r>
        <w:rPr>
          <w:rFonts w:ascii="Times New Roman" w:cs="Times New Roman" w:hAnsi="Times New Roman"/>
          <w:i/>
          <w:iCs/>
          <w:sz w:val="24"/>
          <w:szCs w:val="24"/>
        </w:rPr>
        <w:t>Hyde v. Hyde</w:t>
      </w:r>
      <w:r>
        <w:rPr>
          <w:rStyle w:val="style38"/>
          <w:rFonts w:ascii="Times New Roman" w:cs="Times New Roman" w:hAnsi="Times New Roman"/>
          <w:i/>
          <w:iCs/>
          <w:sz w:val="24"/>
          <w:szCs w:val="24"/>
        </w:rPr>
        <w:footnoteReference w:id="21"/>
      </w:r>
      <w:r>
        <w:rPr>
          <w:rFonts w:ascii="Times New Roman" w:cs="Times New Roman" w:hAnsi="Times New Roman"/>
          <w:i/>
          <w:iCs/>
          <w:sz w:val="24"/>
          <w:szCs w:val="24"/>
        </w:rPr>
        <w:t>.</w:t>
      </w:r>
      <w:r>
        <w:rPr>
          <w:rFonts w:ascii="Times New Roman" w:cs="Times New Roman" w:hAnsi="Times New Roman"/>
          <w:iCs/>
          <w:sz w:val="24"/>
          <w:szCs w:val="24"/>
        </w:rPr>
        <w:t xml:space="preserve"> </w:t>
      </w:r>
    </w:p>
    <w:p>
      <w:pPr>
        <w:pStyle w:val="style0"/>
        <w:autoSpaceDE w:val="false"/>
        <w:autoSpaceDN w:val="false"/>
        <w:adjustRightInd w:val="false"/>
        <w:spacing w:after="0" w:lineRule="auto" w:line="360"/>
        <w:jc w:val="both"/>
        <w:rPr>
          <w:rFonts w:ascii="Times New Roman" w:cs="Times New Roman" w:hAnsi="Times New Roman"/>
          <w:sz w:val="24"/>
          <w:szCs w:val="24"/>
        </w:rPr>
      </w:pPr>
    </w:p>
    <w:p>
      <w:pPr>
        <w:pStyle w:val="style0"/>
        <w:autoSpaceDE w:val="false"/>
        <w:autoSpaceDN w:val="false"/>
        <w:adjustRightInd w:val="false"/>
        <w:spacing w:after="0" w:lineRule="auto" w:line="360"/>
        <w:jc w:val="both"/>
        <w:rPr>
          <w:rFonts w:ascii="Times New Roman" w:cs="Times New Roman" w:hAnsi="Times New Roman"/>
          <w:sz w:val="24"/>
          <w:szCs w:val="24"/>
        </w:rPr>
      </w:pPr>
    </w:p>
    <w:p>
      <w:pPr>
        <w:pStyle w:val="style0"/>
        <w:autoSpaceDE w:val="false"/>
        <w:autoSpaceDN w:val="false"/>
        <w:adjustRightInd w:val="false"/>
        <w:spacing w:after="0" w:lineRule="auto" w:line="360"/>
        <w:jc w:val="both"/>
        <w:rPr>
          <w:rFonts w:ascii="Times New Roman" w:cs="Times New Roman" w:hAnsi="Times New Roman"/>
          <w:sz w:val="24"/>
          <w:szCs w:val="24"/>
        </w:rPr>
      </w:pPr>
    </w:p>
    <w:p>
      <w:pPr>
        <w:pStyle w:val="style0"/>
        <w:autoSpaceDE w:val="false"/>
        <w:autoSpaceDN w:val="false"/>
        <w:adjustRightInd w:val="false"/>
        <w:spacing w:after="0" w:lineRule="auto" w:line="360"/>
        <w:jc w:val="both"/>
        <w:rPr>
          <w:rFonts w:ascii="Times New Roman" w:cs="Times New Roman" w:hAnsi="Times New Roman"/>
          <w:sz w:val="24"/>
          <w:szCs w:val="24"/>
        </w:rPr>
      </w:pPr>
    </w:p>
    <w:p>
      <w:pPr>
        <w:pStyle w:val="style0"/>
        <w:autoSpaceDE w:val="false"/>
        <w:autoSpaceDN w:val="false"/>
        <w:adjustRightInd w:val="false"/>
        <w:spacing w:after="0" w:lineRule="auto" w:line="360"/>
        <w:jc w:val="both"/>
        <w:rPr>
          <w:rFonts w:ascii="Algerian" w:cs="Times New Roman" w:hAnsi="Algerian"/>
          <w:sz w:val="32"/>
          <w:szCs w:val="32"/>
        </w:rPr>
      </w:pPr>
    </w:p>
    <w:p>
      <w:pPr>
        <w:pStyle w:val="style0"/>
        <w:autoSpaceDE w:val="false"/>
        <w:autoSpaceDN w:val="false"/>
        <w:adjustRightInd w:val="false"/>
        <w:spacing w:after="0" w:lineRule="auto" w:line="360"/>
        <w:jc w:val="both"/>
        <w:rPr>
          <w:rFonts w:ascii="Algerian" w:cs="Times New Roman" w:hAnsi="Algerian"/>
          <w:sz w:val="32"/>
          <w:szCs w:val="32"/>
        </w:rPr>
      </w:pPr>
    </w:p>
    <w:p>
      <w:pPr>
        <w:pStyle w:val="style0"/>
        <w:autoSpaceDE w:val="false"/>
        <w:autoSpaceDN w:val="false"/>
        <w:adjustRightInd w:val="false"/>
        <w:spacing w:after="0" w:lineRule="auto" w:line="360"/>
        <w:jc w:val="both"/>
        <w:rPr>
          <w:rFonts w:ascii="Algerian" w:cs="Times New Roman" w:hAnsi="Algerian"/>
          <w:sz w:val="32"/>
          <w:szCs w:val="32"/>
        </w:rPr>
      </w:pPr>
    </w:p>
    <w:p>
      <w:pPr>
        <w:pStyle w:val="style0"/>
        <w:autoSpaceDE w:val="false"/>
        <w:autoSpaceDN w:val="false"/>
        <w:adjustRightInd w:val="false"/>
        <w:spacing w:after="0" w:lineRule="auto" w:line="360"/>
        <w:jc w:val="both"/>
        <w:rPr>
          <w:rFonts w:ascii="Algerian" w:cs="Times New Roman" w:hAnsi="Algerian"/>
          <w:sz w:val="32"/>
          <w:szCs w:val="32"/>
        </w:rPr>
      </w:pPr>
    </w:p>
    <w:p>
      <w:pPr>
        <w:pStyle w:val="style0"/>
        <w:autoSpaceDE w:val="false"/>
        <w:autoSpaceDN w:val="false"/>
        <w:adjustRightInd w:val="false"/>
        <w:spacing w:after="0" w:lineRule="auto" w:line="360"/>
        <w:jc w:val="both"/>
        <w:rPr>
          <w:rFonts w:ascii="Algerian" w:cs="Times New Roman" w:hAnsi="Algerian"/>
          <w:sz w:val="32"/>
          <w:szCs w:val="32"/>
        </w:rPr>
      </w:pPr>
    </w:p>
    <w:p>
      <w:pPr>
        <w:pStyle w:val="style0"/>
        <w:autoSpaceDE w:val="false"/>
        <w:autoSpaceDN w:val="false"/>
        <w:adjustRightInd w:val="false"/>
        <w:spacing w:after="0" w:lineRule="auto" w:line="360"/>
        <w:jc w:val="both"/>
        <w:rPr>
          <w:rFonts w:ascii="Algerian" w:cs="Times New Roman" w:hAnsi="Algerian"/>
          <w:sz w:val="32"/>
          <w:szCs w:val="32"/>
        </w:rPr>
      </w:pPr>
    </w:p>
    <w:p>
      <w:pPr>
        <w:pStyle w:val="style0"/>
        <w:autoSpaceDE w:val="false"/>
        <w:autoSpaceDN w:val="false"/>
        <w:adjustRightInd w:val="false"/>
        <w:spacing w:after="0" w:lineRule="auto" w:line="360"/>
        <w:jc w:val="both"/>
        <w:rPr>
          <w:rFonts w:ascii="Algerian" w:cs="Times New Roman" w:hAnsi="Algerian"/>
          <w:sz w:val="32"/>
          <w:szCs w:val="32"/>
        </w:rPr>
      </w:pPr>
    </w:p>
    <w:p>
      <w:pPr>
        <w:pStyle w:val="style0"/>
        <w:autoSpaceDE w:val="false"/>
        <w:autoSpaceDN w:val="false"/>
        <w:adjustRightInd w:val="false"/>
        <w:spacing w:after="0" w:lineRule="auto" w:line="360"/>
        <w:jc w:val="both"/>
        <w:rPr>
          <w:rFonts w:ascii="Algerian" w:cs="Times New Roman" w:hAnsi="Algerian"/>
          <w:sz w:val="32"/>
          <w:szCs w:val="32"/>
        </w:rPr>
      </w:pPr>
    </w:p>
    <w:p>
      <w:pPr>
        <w:pStyle w:val="style0"/>
        <w:autoSpaceDE w:val="false"/>
        <w:autoSpaceDN w:val="false"/>
        <w:adjustRightInd w:val="false"/>
        <w:spacing w:after="0" w:lineRule="auto" w:line="360"/>
        <w:jc w:val="both"/>
        <w:rPr>
          <w:rFonts w:ascii="Algerian" w:cs="Times New Roman" w:hAnsi="Algerian"/>
          <w:sz w:val="32"/>
          <w:szCs w:val="32"/>
        </w:rPr>
      </w:pPr>
    </w:p>
    <w:p>
      <w:pPr>
        <w:pStyle w:val="style0"/>
        <w:autoSpaceDE w:val="false"/>
        <w:autoSpaceDN w:val="false"/>
        <w:adjustRightInd w:val="false"/>
        <w:spacing w:after="0" w:lineRule="auto" w:line="360"/>
        <w:jc w:val="both"/>
        <w:rPr>
          <w:rFonts w:ascii="Algerian" w:cs="Times New Roman" w:hAnsi="Algerian"/>
          <w:sz w:val="32"/>
          <w:szCs w:val="32"/>
        </w:rPr>
      </w:pPr>
    </w:p>
    <w:p>
      <w:pPr>
        <w:pStyle w:val="style0"/>
        <w:autoSpaceDE w:val="false"/>
        <w:autoSpaceDN w:val="false"/>
        <w:adjustRightInd w:val="false"/>
        <w:spacing w:after="0" w:lineRule="auto" w:line="360"/>
        <w:jc w:val="both"/>
        <w:rPr>
          <w:rFonts w:ascii="Times New Roman" w:cs="Times New Roman" w:hAnsi="Times New Roman"/>
          <w:iCs/>
          <w:sz w:val="24"/>
          <w:szCs w:val="24"/>
        </w:rPr>
      </w:pPr>
      <w:r>
        <w:rPr>
          <w:rFonts w:ascii="Algerian" w:cs="Times New Roman" w:hAnsi="Algerian"/>
          <w:sz w:val="32"/>
          <w:szCs w:val="32"/>
        </w:rPr>
        <w:t>REFERENCES</w:t>
      </w:r>
    </w:p>
    <w:p>
      <w:pPr>
        <w:pStyle w:val="style179"/>
        <w:numPr>
          <w:ilvl w:val="0"/>
          <w:numId w:val="3"/>
        </w:numPr>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 xml:space="preserve">Class note on matrimonial causes – limping marriages. </w:t>
      </w:r>
    </w:p>
    <w:p>
      <w:pPr>
        <w:pStyle w:val="style179"/>
        <w:numPr>
          <w:ilvl w:val="0"/>
          <w:numId w:val="3"/>
        </w:numPr>
        <w:autoSpaceDE w:val="false"/>
        <w:autoSpaceDN w:val="false"/>
        <w:adjustRightInd w:val="false"/>
        <w:spacing w:after="0" w:lineRule="auto" w:line="360"/>
        <w:rPr>
          <w:rFonts w:ascii="Times New Roman" w:cs="Times New Roman" w:hAnsi="Times New Roman"/>
          <w:sz w:val="24"/>
          <w:szCs w:val="24"/>
        </w:rPr>
      </w:pPr>
      <w:r>
        <w:rPr/>
        <w:fldChar w:fldCharType="begin"/>
      </w:r>
      <w:r>
        <w:instrText xml:space="preserve"> HYPERLINK "https://www.nou.edu.ng/sites/default/files/2018-10/JIL%2520514_docx.pdf" </w:instrText>
      </w:r>
      <w:r>
        <w:rPr/>
        <w:fldChar w:fldCharType="separate"/>
      </w:r>
      <w:r>
        <w:rPr>
          <w:rStyle w:val="style85"/>
          <w:rFonts w:ascii="Times New Roman" w:cs="Times New Roman" w:hAnsi="Times New Roman"/>
          <w:sz w:val="24"/>
          <w:szCs w:val="24"/>
        </w:rPr>
        <w:t>https://www.nou.edu.ng/sites/default/files/2018-10/JIL%2520514_docx.pdf</w:t>
      </w:r>
      <w:r>
        <w:rPr/>
        <w:fldChar w:fldCharType="end"/>
      </w:r>
      <w:r>
        <w:rPr>
          <w:rFonts w:ascii="Times New Roman" w:cs="Times New Roman" w:hAnsi="Times New Roman"/>
          <w:sz w:val="24"/>
          <w:szCs w:val="24"/>
        </w:rPr>
        <w:t xml:space="preserve">  accessed on the 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day of May, 2020. </w:t>
      </w:r>
    </w:p>
    <w:p>
      <w:pPr>
        <w:pStyle w:val="style179"/>
        <w:numPr>
          <w:ilvl w:val="0"/>
          <w:numId w:val="3"/>
        </w:numPr>
        <w:autoSpaceDE w:val="false"/>
        <w:autoSpaceDN w:val="false"/>
        <w:adjustRightInd w:val="false"/>
        <w:spacing w:after="0" w:lineRule="auto" w:line="360"/>
        <w:rPr>
          <w:rFonts w:ascii="Times New Roman" w:cs="Times New Roman" w:hAnsi="Times New Roman"/>
          <w:sz w:val="24"/>
          <w:szCs w:val="24"/>
        </w:rPr>
      </w:pPr>
      <w:r>
        <w:rPr/>
        <w:fldChar w:fldCharType="begin"/>
      </w:r>
      <w:r>
        <w:instrText xml:space="preserve"> HYPERLINK </w:instrText>
      </w:r>
      <w:r>
        <w:rPr/>
        <w:fldChar w:fldCharType="separate"/>
      </w:r>
      <w:r>
        <w:rPr>
          <w:rStyle w:val="style85"/>
          <w:rFonts w:ascii="Times New Roman" w:cs="Times New Roman" w:hAnsi="Times New Roman"/>
          <w:sz w:val="24"/>
          <w:szCs w:val="24"/>
        </w:rPr>
        <w:t>https://lawjournal.mcgill.ca&gt;...PDF</w:t>
      </w:r>
      <w:r>
        <w:rPr/>
        <w:fldChar w:fldCharType="end"/>
      </w:r>
      <w:r>
        <w:rPr>
          <w:rFonts w:ascii="Times New Roman" w:cs="Times New Roman" w:hAnsi="Times New Roman"/>
          <w:sz w:val="24"/>
          <w:szCs w:val="24"/>
        </w:rPr>
        <w:t xml:space="preserve"> </w:t>
      </w:r>
      <w:r>
        <w:rPr>
          <w:rFonts w:ascii="Times New Roman" w:cs="Times New Roman" w:hAnsi="Times New Roman"/>
          <w:sz w:val="24"/>
          <w:szCs w:val="24"/>
        </w:rPr>
        <w:t>accessed on the 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day of May, 2020.</w:t>
      </w:r>
    </w:p>
    <w:p>
      <w:pPr>
        <w:pStyle w:val="style179"/>
        <w:numPr>
          <w:ilvl w:val="0"/>
          <w:numId w:val="3"/>
        </w:numPr>
        <w:autoSpaceDE w:val="false"/>
        <w:autoSpaceDN w:val="false"/>
        <w:adjustRightInd w:val="false"/>
        <w:spacing w:after="0" w:lineRule="auto" w:line="360"/>
        <w:rPr>
          <w:rFonts w:ascii="Times New Roman" w:cs="Times New Roman" w:hAnsi="Times New Roman"/>
          <w:sz w:val="24"/>
          <w:szCs w:val="24"/>
        </w:rPr>
      </w:pPr>
      <w:r>
        <w:rPr/>
        <w:fldChar w:fldCharType="begin"/>
      </w:r>
      <w:r>
        <w:instrText xml:space="preserve"> HYPERLINK </w:instrText>
      </w:r>
      <w:r>
        <w:rPr/>
        <w:fldChar w:fldCharType="separate"/>
      </w:r>
      <w:r>
        <w:rPr>
          <w:rStyle w:val="style85"/>
          <w:rFonts w:ascii="Times New Roman" w:cs="Times New Roman" w:hAnsi="Times New Roman"/>
          <w:sz w:val="24"/>
          <w:szCs w:val="24"/>
        </w:rPr>
        <w:t>https://www.austlii.edu.au&gt;5...PDF</w:t>
      </w:r>
      <w:r>
        <w:rPr/>
        <w:fldChar w:fldCharType="end"/>
      </w:r>
      <w:r>
        <w:rPr>
          <w:rFonts w:ascii="Times New Roman" w:cs="Times New Roman" w:hAnsi="Times New Roman"/>
          <w:sz w:val="24"/>
          <w:szCs w:val="24"/>
        </w:rPr>
        <w:t xml:space="preserve"> </w:t>
      </w:r>
      <w:r>
        <w:rPr>
          <w:rFonts w:ascii="Times New Roman" w:cs="Times New Roman" w:hAnsi="Times New Roman"/>
          <w:sz w:val="24"/>
          <w:szCs w:val="24"/>
        </w:rPr>
        <w:t>accessed on the 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day of May, 2020. </w:t>
      </w:r>
    </w:p>
    <w:sectPr>
      <w:headerReference w:type="even" r:id="rId2"/>
      <w:headerReference w:type="default" r:id="rId3"/>
      <w:headerReference w:type="first" r:id="rId4"/>
      <w:pgSz w:w="12240" w:h="15840" w:orient="portrait"/>
      <w:pgMar w:top="1440" w:right="1440" w:bottom="1440" w:left="1440" w:header="720" w:footer="720" w:gutter="0"/>
      <w:pgBorders w:zOrder="front" w:display="allPage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Algerian">
    <w:altName w:val="Algerian"/>
    <w:panose1 w:val="04020705040000060702"/>
    <w:charset w:val="00"/>
    <w:family w:val="decorative"/>
    <w:pitch w:val="variable"/>
    <w:sig w:usb0="00000003" w:usb1="00000000" w:usb2="00000000" w:usb3="00000000" w:csb0="00000001"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rPr/>
      </w:pPr>
      <w:r>
        <w:rPr>
          <w:rStyle w:val="style38"/>
        </w:rPr>
        <w:footnoteRef/>
      </w:r>
      <w:r>
        <w:t xml:space="preserve"> Per </w:t>
      </w:r>
      <w:r>
        <w:rPr>
          <w:b/>
          <w:i/>
        </w:rPr>
        <w:t>Lord Penzance</w:t>
      </w:r>
      <w:r>
        <w:t xml:space="preserve"> in </w:t>
      </w:r>
      <w:r>
        <w:rPr>
          <w:i/>
        </w:rPr>
        <w:t>Wilson v Wilson</w:t>
      </w:r>
      <w:r>
        <w:t xml:space="preserve"> (1872) L.R. P &amp; D 435 at 442.</w:t>
      </w:r>
    </w:p>
  </w:footnote>
  <w:footnote w:id="2">
    <w:p>
      <w:pPr>
        <w:pStyle w:val="style29"/>
        <w:rPr/>
      </w:pPr>
      <w:r>
        <w:rPr>
          <w:rStyle w:val="style38"/>
        </w:rPr>
        <w:footnoteRef/>
      </w:r>
      <w:r>
        <w:t xml:space="preserve"> (1968) P.314. </w:t>
      </w:r>
    </w:p>
  </w:footnote>
  <w:footnote w:id="3">
    <w:p>
      <w:pPr>
        <w:pStyle w:val="style29"/>
        <w:rPr/>
      </w:pPr>
      <w:r>
        <w:rPr>
          <w:rStyle w:val="style38"/>
        </w:rPr>
        <w:footnoteRef/>
      </w:r>
      <w:r>
        <w:t xml:space="preserve"> </w:t>
      </w:r>
      <w:r>
        <w:rPr>
          <w:rFonts w:cs="Times New Roman"/>
          <w:iCs/>
        </w:rPr>
        <w:t>(1977) Fam</w:t>
      </w:r>
      <w:r>
        <w:rPr>
          <w:rFonts w:cs="Times New Roman"/>
          <w:iCs/>
        </w:rPr>
        <w:t xml:space="preserve"> </w:t>
      </w:r>
      <w:r>
        <w:rPr>
          <w:rFonts w:cs="Times New Roman"/>
          <w:iCs/>
        </w:rPr>
        <w:t>208</w:t>
      </w:r>
    </w:p>
  </w:footnote>
  <w:footnote w:id="4">
    <w:p>
      <w:pPr>
        <w:pStyle w:val="style29"/>
        <w:rPr/>
      </w:pPr>
      <w:r>
        <w:rPr>
          <w:rStyle w:val="style38"/>
        </w:rPr>
        <w:footnoteRef/>
      </w:r>
      <w:r>
        <w:t xml:space="preserve"> (1969) 1 A.C. 53 </w:t>
      </w:r>
    </w:p>
  </w:footnote>
  <w:footnote w:id="5">
    <w:p>
      <w:pPr>
        <w:pStyle w:val="style29"/>
        <w:rPr/>
      </w:pPr>
      <w:r>
        <w:rPr>
          <w:rStyle w:val="style38"/>
        </w:rPr>
        <w:footnoteRef/>
      </w:r>
      <w:r>
        <w:t xml:space="preserve"> Mayne, </w:t>
      </w:r>
      <w:r>
        <w:rPr>
          <w:i/>
        </w:rPr>
        <w:t>Treatise on Hindu Law and Usages</w:t>
      </w:r>
      <w:r>
        <w:t>, 11th ed. (1953), 172 - 73</w:t>
      </w:r>
    </w:p>
  </w:footnote>
  <w:footnote w:id="6">
    <w:p>
      <w:pPr>
        <w:pStyle w:val="style29"/>
        <w:rPr/>
      </w:pPr>
      <w:r>
        <w:rPr>
          <w:rStyle w:val="style38"/>
        </w:rPr>
        <w:footnoteRef/>
      </w:r>
      <w:r>
        <w:t xml:space="preserve"> Farran, </w:t>
      </w:r>
      <w:r>
        <w:rPr>
          <w:i/>
        </w:rPr>
        <w:t>Matrimonial Laws of the Sudan</w:t>
      </w:r>
      <w:r>
        <w:t xml:space="preserve"> (1963), chs.1 and 3</w:t>
      </w:r>
    </w:p>
  </w:footnote>
  <w:footnote w:id="7">
    <w:p>
      <w:pPr>
        <w:pStyle w:val="style29"/>
        <w:rPr/>
      </w:pPr>
      <w:r>
        <w:rPr>
          <w:rStyle w:val="style38"/>
        </w:rPr>
        <w:footnoteRef/>
      </w:r>
      <w:r>
        <w:t xml:space="preserve"> </w:t>
      </w:r>
      <w:r>
        <w:rPr>
          <w:i/>
        </w:rPr>
        <w:t>Warrender v Warrender</w:t>
      </w:r>
      <w:r>
        <w:t xml:space="preserve"> (1835) 2 Cl &amp; Fin. 532, 6 E.R. 1239 (H.L.) per </w:t>
      </w:r>
      <w:r>
        <w:rPr>
          <w:b/>
          <w:i/>
        </w:rPr>
        <w:t>Lord Brougham</w:t>
      </w:r>
      <w:r>
        <w:t xml:space="preserve">; but see Stone, </w:t>
      </w:r>
      <w:r>
        <w:rPr>
          <w:i/>
        </w:rPr>
        <w:t>Sowa v Sowa: Maintenance of Family Dependants</w:t>
      </w:r>
      <w:r>
        <w:t xml:space="preserve"> (1961) 24 Mod.L.Rev. 500, 501, for a contrary view</w:t>
      </w:r>
    </w:p>
  </w:footnote>
  <w:footnote w:id="8">
    <w:p>
      <w:pPr>
        <w:pStyle w:val="style29"/>
        <w:rPr/>
      </w:pPr>
      <w:r>
        <w:rPr>
          <w:rStyle w:val="style38"/>
        </w:rPr>
        <w:footnoteRef/>
      </w:r>
      <w:r>
        <w:t xml:space="preserve"> (1962) 31 D.L.R. (2d) 566 (B.C.S.C.); aff’d on different grounds (1962) 36 D.L.R. (2d) 499 (B.C.C.A.)</w:t>
      </w:r>
    </w:p>
  </w:footnote>
  <w:footnote w:id="9">
    <w:p>
      <w:pPr>
        <w:pStyle w:val="style29"/>
        <w:rPr/>
      </w:pPr>
      <w:r>
        <w:rPr>
          <w:rStyle w:val="style38"/>
        </w:rPr>
        <w:footnoteRef/>
      </w:r>
      <w:r>
        <w:t xml:space="preserve"> (1948) 2 D.L.R. 353 (B.C.S.C.) </w:t>
      </w:r>
    </w:p>
  </w:footnote>
  <w:footnote w:id="10">
    <w:p>
      <w:pPr>
        <w:pStyle w:val="style29"/>
        <w:rPr/>
      </w:pPr>
      <w:r>
        <w:rPr>
          <w:rStyle w:val="style38"/>
        </w:rPr>
        <w:footnoteRef/>
      </w:r>
      <w:r>
        <w:t xml:space="preserve"> Lord J. quotes extensively from Dicey, the passage which lays down the germs of the doctrine of conversion. </w:t>
      </w:r>
      <w:r>
        <w:rPr>
          <w:i/>
        </w:rPr>
        <w:t>Sara v Sara</w:t>
      </w:r>
      <w:r>
        <w:t xml:space="preserve"> is perhaps one of the earliest decisions to grasp that principle</w:t>
      </w:r>
    </w:p>
  </w:footnote>
  <w:footnote w:id="11">
    <w:p>
      <w:pPr>
        <w:pStyle w:val="style29"/>
        <w:rPr/>
      </w:pPr>
      <w:r>
        <w:rPr>
          <w:rStyle w:val="style38"/>
        </w:rPr>
        <w:footnoteRef/>
      </w:r>
      <w:r>
        <w:t xml:space="preserve"> (1866) L.R. 1 P. &amp; D. 130</w:t>
      </w:r>
    </w:p>
  </w:footnote>
  <w:footnote w:id="12">
    <w:p>
      <w:pPr>
        <w:pStyle w:val="style29"/>
        <w:rPr/>
      </w:pPr>
      <w:r>
        <w:rPr>
          <w:rStyle w:val="style38"/>
        </w:rPr>
        <w:footnoteRef/>
      </w:r>
      <w:r>
        <w:t xml:space="preserve"> (1965) P.85; (1962) 3 All E.R. 873</w:t>
      </w:r>
    </w:p>
  </w:footnote>
  <w:footnote w:id="13">
    <w:p>
      <w:pPr>
        <w:pStyle w:val="style29"/>
        <w:rPr/>
      </w:pPr>
      <w:r>
        <w:rPr>
          <w:rStyle w:val="style38"/>
        </w:rPr>
        <w:footnoteRef/>
      </w:r>
      <w:r>
        <w:t xml:space="preserve"> (1961) P.70 (C.A.) </w:t>
      </w:r>
    </w:p>
  </w:footnote>
  <w:footnote w:id="14">
    <w:p>
      <w:pPr>
        <w:pStyle w:val="style29"/>
        <w:rPr/>
      </w:pPr>
      <w:r>
        <w:rPr>
          <w:rStyle w:val="style38"/>
        </w:rPr>
        <w:footnoteRef/>
      </w:r>
      <w:r>
        <w:t xml:space="preserve"> See Pearce L.J. and Harman L.J. in </w:t>
      </w:r>
      <w:r>
        <w:rPr>
          <w:i/>
        </w:rPr>
        <w:t>Sowa v Sowa</w:t>
      </w:r>
      <w:r>
        <w:t xml:space="preserve">, supra; in </w:t>
      </w:r>
      <w:r>
        <w:rPr>
          <w:i/>
        </w:rPr>
        <w:t>Lim v Lim</w:t>
      </w:r>
      <w:r>
        <w:t>, supra</w:t>
      </w:r>
    </w:p>
  </w:footnote>
  <w:footnote w:id="15">
    <w:p>
      <w:pPr>
        <w:pStyle w:val="style29"/>
        <w:rPr/>
      </w:pPr>
      <w:r>
        <w:rPr>
          <w:rStyle w:val="style38"/>
        </w:rPr>
        <w:footnoteRef/>
      </w:r>
      <w:r>
        <w:t xml:space="preserve"> Reported as an appendix to </w:t>
      </w:r>
      <w:r>
        <w:rPr>
          <w:i/>
        </w:rPr>
        <w:t>Baindail v Baindail</w:t>
      </w:r>
      <w:r>
        <w:t xml:space="preserve"> (1946) 1 All E.R. 342, 348. The Official Law Reports of this case in the Queen’s Bench series do not carry a report of the </w:t>
      </w:r>
      <w:r>
        <w:rPr>
          <w:i/>
        </w:rPr>
        <w:t>Sinha Peerage</w:t>
      </w:r>
      <w:r>
        <w:t xml:space="preserve"> decision.</w:t>
      </w:r>
    </w:p>
  </w:footnote>
  <w:footnote w:id="16">
    <w:p>
      <w:pPr>
        <w:pStyle w:val="style29"/>
        <w:rPr/>
      </w:pPr>
      <w:r>
        <w:rPr>
          <w:rStyle w:val="style38"/>
        </w:rPr>
        <w:footnoteRef/>
      </w:r>
      <w:r>
        <w:t xml:space="preserve"> </w:t>
      </w:r>
      <w:r>
        <w:t>(1966) 1 All E.R. 664</w:t>
      </w:r>
    </w:p>
  </w:footnote>
  <w:footnote w:id="17">
    <w:p>
      <w:pPr>
        <w:pStyle w:val="style29"/>
        <w:rPr/>
      </w:pPr>
      <w:r>
        <w:rPr>
          <w:rStyle w:val="style38"/>
        </w:rPr>
        <w:footnoteRef/>
      </w:r>
      <w:r>
        <w:t xml:space="preserve"> Supra </w:t>
      </w:r>
    </w:p>
  </w:footnote>
  <w:footnote w:id="18">
    <w:p>
      <w:pPr>
        <w:pStyle w:val="style29"/>
        <w:rPr/>
      </w:pPr>
      <w:r>
        <w:rPr>
          <w:rStyle w:val="style38"/>
        </w:rPr>
        <w:footnoteRef/>
      </w:r>
      <w:r>
        <w:t xml:space="preserve"> </w:t>
      </w:r>
      <w:r>
        <w:rPr>
          <w:rFonts w:cs="Times New Roman"/>
        </w:rPr>
        <w:t>(1967) 2 W.L.R. 946</w:t>
      </w:r>
    </w:p>
  </w:footnote>
  <w:footnote w:id="19">
    <w:p>
      <w:pPr>
        <w:pStyle w:val="style29"/>
        <w:rPr/>
      </w:pPr>
      <w:r>
        <w:rPr>
          <w:rStyle w:val="style38"/>
        </w:rPr>
        <w:footnoteRef/>
      </w:r>
      <w:r>
        <w:t xml:space="preserve"> Supra </w:t>
      </w:r>
    </w:p>
  </w:footnote>
  <w:footnote w:id="20">
    <w:p>
      <w:pPr>
        <w:pStyle w:val="style29"/>
        <w:rPr/>
      </w:pPr>
      <w:r>
        <w:rPr>
          <w:rStyle w:val="style38"/>
        </w:rPr>
        <w:footnoteRef/>
      </w:r>
      <w:r>
        <w:t xml:space="preserve"> </w:t>
      </w:r>
      <w:r>
        <w:rPr>
          <w:rFonts w:cs="Times New Roman"/>
          <w:iCs/>
        </w:rPr>
        <w:t xml:space="preserve">Conflict of Laws </w:t>
      </w:r>
      <w:r>
        <w:rPr>
          <w:rFonts w:cs="Times New Roman"/>
        </w:rPr>
        <w:t>9th ed. (1973), 283</w:t>
      </w:r>
    </w:p>
  </w:footnote>
  <w:footnote w:id="21">
    <w:p>
      <w:pPr>
        <w:pStyle w:val="style29"/>
        <w:rPr/>
      </w:pPr>
      <w:r>
        <w:rPr>
          <w:rStyle w:val="style38"/>
        </w:rPr>
        <w:footnoteRef/>
      </w:r>
      <w:r>
        <w:t xml:space="preserve"> Supra </w:t>
      </w:r>
    </w:p>
  </w:footnote>
</w:footnote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r>
      <w:rPr>
        <w:noProof/>
      </w:rPr>
      <w:drawing>
        <wp:anchor distT="0" distB="0" distL="0" distR="0" simplePos="false" relativeHeight="5" behindDoc="true" locked="false" layoutInCell="false" allowOverlap="true">
          <wp:simplePos x="0" y="0"/>
          <wp:positionH relativeFrom="margin">
            <wp:align>center</wp:align>
          </wp:positionH>
          <wp:positionV relativeFrom="margin">
            <wp:align>center</wp:align>
          </wp:positionV>
          <wp:extent cx="5941059" cy="7852409"/>
          <wp:effectExtent l="0" t="0" r="0" b="0"/>
          <wp:wrapNone/>
          <wp:docPr id="4097" name="_x0000_t7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lum bright="70000" contrast="-70000"/>
                  </a:blip>
                  <a:srcRect l="0" t="0" r="0" b="0"/>
                  <a:stretch/>
                </pic:blipFill>
                <pic:spPr>
                  <a:xfrm rot="0">
                    <a:off x="0" y="0"/>
                    <a:ext cx="5941059" cy="7852409"/>
                  </a:xfrm>
                  <a:prstGeom prst="rect"/>
                  <a:ln>
                    <a:noFill/>
                  </a:ln>
                </pic:spPr>
              </pic:pic>
            </a:graphicData>
          </a:graphic>
        </wp:anchor>
      </w:drawing>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r>
      <w:rPr>
        <w:noProof/>
        <w:lang w:eastAsia="zh-TW"/>
      </w:rPr>
      <w:pict>
        <v:group id="4098" filled="f" stroked="f" style="position:absolute;margin-left:0.0pt;margin-top:0.0pt;width:467.0pt;height:18.8pt;z-index:3;mso-position-horizontal:center;mso-position-vertical:center;mso-position-horizontal-relative:margin;mso-position-vertical-relative:top-margin-area;mso-width-percent:1000;mso-width-relative:margin;mso-height-relative:page;mso-wrap-distance-left:0.0pt;mso-wrap-distance-right:0.0pt;visibility:visible;" coordsize="8690,376" coordorigin="1778,533">
          <v:shapetype id="_x0000_t32" coordsize="21600,21600" o:spt="32" o:oned="t" path="m,l21600,21600e">
            <v:path arrowok="t" fillok="f" o:connecttype="none"/>
            <o:lock v:ext="edit" shapetype="t"/>
          </v:shapetype>
          <v:shape id="4100" type="#_x0000_t32" filled="f" style="position:absolute;left:1778;top:720;width:8690;height:0;z-index:7;mso-position-horizontal:center;mso-position-vertical:center;mso-position-horizontal-relative:margin;mso-position-vertical-relative:top-margin-area;mso-width-relative:page;mso-height-relative:bottom-margin-area;visibility:visible;">
            <v:stroke color="gray" weight="1.0pt"/>
            <v:fill/>
            <v:path o:connecttype="none" fillok="f" arrowok="t"/>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xrange="0,10800"/>
            </v:handles>
          </v:shapetype>
          <v:shape id="4102" type="#_x0000_t185" adj="3600," filled="t" style="position:absolute;left:5718;top:533;width:797;height:376;z-index:8;mso-position-horizontal:center;mso-position-vertical:center;mso-position-horizontal-relative:margin;mso-position-vertical-relative:top-margin-area;mso-width-percent:100;mso-width-relative:margin;mso-height-relative:bottom-margin-area;visibility:visible;">
            <v:stroke color="gray" weight="2.25pt"/>
            <v:fill/>
            <v:path limo="10800,10800" textboxrect="@3,@3,@4,@5" o:connecttype="custom" o:connectlocs="@8,0;0,@9;@8,@7;@6,@9" extrusionok="f" gradientshapeok="t"/>
            <v:textbox inset="7.2pt,0.0pt,7.2pt,0.0pt">
              <w:txbxContent>
                <w:p>
                  <w:pPr>
                    <w:pStyle w:val="style0"/>
                    <w:jc w:val="center"/>
                    <w:rPr/>
                  </w:pPr>
                  <w:r>
                    <w:rPr/>
                    <w:fldChar w:fldCharType="begin"/>
                  </w:r>
                  <w:r>
                    <w:instrText xml:space="preserve"> PAGE    \* MERGEFORMAT </w:instrText>
                  </w:r>
                  <w:r>
                    <w:rPr/>
                    <w:fldChar w:fldCharType="separate"/>
                  </w:r>
                  <w:r>
                    <w:rPr>
                      <w:noProof/>
                    </w:rPr>
                    <w:t>2</w:t>
                  </w:r>
                  <w:r>
                    <w:rPr/>
                    <w:fldChar w:fldCharType="end"/>
                  </w:r>
                </w:p>
              </w:txbxContent>
            </v:textbox>
          </v:shape>
          <v:fill/>
        </v:group>
      </w:pict>
    </w:r>
    <w:r>
      <w:rPr>
        <w:noProof/>
      </w:rPr>
      <w:drawing>
        <wp:anchor distT="0" distB="0" distL="0" distR="0" simplePos="false" relativeHeight="6" behindDoc="true" locked="false" layoutInCell="false" allowOverlap="true">
          <wp:simplePos x="0" y="0"/>
          <wp:positionH relativeFrom="margin">
            <wp:align>center</wp:align>
          </wp:positionH>
          <wp:positionV relativeFrom="margin">
            <wp:align>center</wp:align>
          </wp:positionV>
          <wp:extent cx="5941059" cy="7852409"/>
          <wp:effectExtent l="0" t="0" r="0" b="0"/>
          <wp:wrapNone/>
          <wp:docPr id="4103" name="_x0000_t7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 cstate="print">
                    <a:lum bright="70000" contrast="-70000"/>
                  </a:blip>
                  <a:srcRect l="0" t="0" r="0" b="0"/>
                  <a:stretch/>
                </pic:blipFill>
                <pic:spPr>
                  <a:xfrm rot="0">
                    <a:off x="0" y="0"/>
                    <a:ext cx="5941059" cy="7852409"/>
                  </a:xfrm>
                  <a:prstGeom prst="rect"/>
                  <a:ln>
                    <a:noFill/>
                  </a:ln>
                </pic:spPr>
              </pic:pic>
            </a:graphicData>
          </a:graphic>
        </wp:anchor>
      </w:drawing>
    </w: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r>
      <w:rPr>
        <w:noProof/>
        <w:lang w:eastAsia="zh-TW"/>
      </w:rPr>
      <w:pict>
        <v:group id="4104" filled="f" stroked="f" style="position:absolute;margin-left:0.0pt;margin-top:0.0pt;width:467.0pt;height:18.8pt;z-index:2;mso-position-horizontal:center;mso-position-vertical:center;mso-position-horizontal-relative:margin;mso-position-vertical-relative:top-margin-area;mso-width-percent:1000;mso-width-relative:margin;mso-height-relative:page;mso-wrap-distance-left:0.0pt;mso-wrap-distance-right:0.0pt;visibility:visible;" coordsize="8690,376" coordorigin="1778,533">
          <v:shapetype id="_x0000_t32" coordsize="21600,21600" o:spt="32" o:oned="t" path="m,l21600,21600e">
            <v:path arrowok="t" fillok="f" o:connecttype="none"/>
            <o:lock v:ext="edit" shapetype="t"/>
          </v:shapetype>
          <v:shape id="4105" type="#_x0000_t32" filled="f" style="position:absolute;left:1778;top:720;width:8690;height:0;z-index:9;mso-position-horizontal:center;mso-position-vertical:center;mso-position-horizontal-relative:margin;mso-position-vertical-relative:top-margin-area;mso-width-relative:page;mso-height-relative:bottom-margin-area;visibility:visible;">
            <v:stroke color="gray" weight="1.0pt"/>
            <v:fill/>
            <v:path o:connecttype="none" fillok="f" arrowok="t"/>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xrange="0,10800"/>
            </v:handles>
          </v:shapetype>
          <v:shape id="4106" type="#_x0000_t185" adj="3600," filled="t" style="position:absolute;left:5718;top:533;width:797;height:376;z-index:10;mso-position-horizontal:center;mso-position-vertical:center;mso-position-horizontal-relative:margin;mso-position-vertical-relative:top-margin-area;mso-width-percent:100;mso-width-relative:margin;mso-height-relative:bottom-margin-area;visibility:visible;">
            <v:stroke color="gray" weight="2.25pt"/>
            <v:fill/>
            <v:path limo="10800,10800" textboxrect="@3,@3,@4,@5" o:connecttype="custom" o:connectlocs="@8,0;0,@9;@8,@7;@6,@9" extrusionok="f" gradientshapeok="t"/>
            <v:textbox inset="7.2pt,0.0pt,7.2pt,0.0pt" style="mso-next-textbox:#3073;">
              <w:txbxContent>
                <w:p>
                  <w:pPr>
                    <w:pStyle w:val="style0"/>
                    <w:jc w:val="center"/>
                    <w:rPr/>
                  </w:pPr>
                  <w:r>
                    <w:rPr/>
                    <w:fldChar w:fldCharType="begin"/>
                  </w:r>
                  <w:r>
                    <w:instrText xml:space="preserve"> PAGE    \* MERGEFORMAT </w:instrText>
                  </w:r>
                  <w:r>
                    <w:rPr/>
                    <w:fldChar w:fldCharType="separate"/>
                  </w:r>
                  <w:r>
                    <w:rPr>
                      <w:noProof/>
                    </w:rPr>
                    <w:t>1</w:t>
                  </w:r>
                  <w:r>
                    <w:rPr/>
                    <w:fldChar w:fldCharType="end"/>
                  </w:r>
                </w:p>
              </w:txbxContent>
            </v:textbox>
          </v:shape>
          <v:fill/>
        </v:group>
      </w:pict>
    </w:r>
    <w:r>
      <w:rPr>
        <w:noProof/>
      </w:rPr>
      <w:drawing>
        <wp:anchor distT="0" distB="0" distL="0" distR="0" simplePos="false" relativeHeight="4" behindDoc="true" locked="false" layoutInCell="false" allowOverlap="true">
          <wp:simplePos x="0" y="0"/>
          <wp:positionH relativeFrom="margin">
            <wp:align>center</wp:align>
          </wp:positionH>
          <wp:positionV relativeFrom="margin">
            <wp:align>center</wp:align>
          </wp:positionV>
          <wp:extent cx="5941059" cy="7852409"/>
          <wp:effectExtent l="0" t="0" r="0" b="0"/>
          <wp:wrapNone/>
          <wp:docPr id="4107" name="_x0000_t7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 cstate="print">
                    <a:lum bright="70000" contrast="-70000"/>
                  </a:blip>
                  <a:srcRect l="0" t="0" r="0" b="0"/>
                  <a:stretch/>
                </pic:blipFill>
                <pic:spPr>
                  <a:xfrm rot="0">
                    <a:off x="0" y="0"/>
                    <a:ext cx="5941059" cy="7852409"/>
                  </a:xfrm>
                  <a:prstGeom prst="rect"/>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5748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73C7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F31E8C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link w:val="style4097"/>
    <w:qFormat/>
    <w:uiPriority w:val="1"/>
    <w:pPr>
      <w:spacing w:after="0" w:lineRule="auto" w:line="240"/>
    </w:pPr>
    <w:rPr>
      <w:rFonts w:eastAsia="宋体"/>
    </w:rPr>
  </w:style>
  <w:style w:type="character" w:customStyle="1" w:styleId="style4097">
    <w:name w:val="No Spacing Char"/>
    <w:basedOn w:val="style65"/>
    <w:next w:val="style4097"/>
    <w:link w:val="style157"/>
    <w:uiPriority w:val="1"/>
    <w:rPr>
      <w:rFonts w:eastAsia="宋体"/>
    </w:rPr>
  </w:style>
  <w:style w:type="paragraph" w:styleId="style153">
    <w:name w:val="Balloon Text"/>
    <w:basedOn w:val="style0"/>
    <w:next w:val="style153"/>
    <w:link w:val="style4098"/>
    <w:uiPriority w:val="99"/>
    <w:pPr>
      <w:spacing w:after="0" w:lineRule="auto" w:line="240"/>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hAnsi="Tahoma"/>
      <w:sz w:val="16"/>
      <w:szCs w:val="16"/>
    </w:rPr>
  </w:style>
  <w:style w:type="paragraph" w:styleId="style31">
    <w:name w:val="header"/>
    <w:basedOn w:val="style0"/>
    <w:next w:val="style31"/>
    <w:link w:val="style4099"/>
    <w:uiPriority w:val="99"/>
    <w:pPr>
      <w:tabs>
        <w:tab w:val="center" w:leader="none" w:pos="4680"/>
        <w:tab w:val="right" w:leader="none" w:pos="9360"/>
      </w:tabs>
      <w:spacing w:after="0" w:lineRule="auto" w:line="240"/>
    </w:pPr>
    <w:rPr/>
  </w:style>
  <w:style w:type="character" w:customStyle="1" w:styleId="style4099">
    <w:name w:val="Header Char_43ea2d33-989c-42b9-b443-b443a87bff40"/>
    <w:basedOn w:val="style65"/>
    <w:next w:val="style4099"/>
    <w:link w:val="style31"/>
    <w:uiPriority w:val="99"/>
  </w:style>
  <w:style w:type="paragraph" w:styleId="style32">
    <w:name w:val="footer"/>
    <w:basedOn w:val="style0"/>
    <w:next w:val="style32"/>
    <w:link w:val="style4100"/>
    <w:uiPriority w:val="99"/>
    <w:pPr>
      <w:tabs>
        <w:tab w:val="center" w:leader="none" w:pos="4680"/>
        <w:tab w:val="right" w:leader="none" w:pos="9360"/>
      </w:tabs>
      <w:spacing w:after="0" w:lineRule="auto" w:line="240"/>
    </w:pPr>
    <w:rPr/>
  </w:style>
  <w:style w:type="character" w:customStyle="1" w:styleId="style4100">
    <w:name w:val="Footer Char_4313abd8-7011-4b80-b796-dd38a0750f1b"/>
    <w:basedOn w:val="style65"/>
    <w:next w:val="style4100"/>
    <w:link w:val="style32"/>
    <w:uiPriority w:val="99"/>
  </w:style>
  <w:style w:type="paragraph" w:styleId="style179">
    <w:name w:val="List Paragraph"/>
    <w:basedOn w:val="style0"/>
    <w:next w:val="style179"/>
    <w:qFormat/>
    <w:uiPriority w:val="34"/>
    <w:pPr>
      <w:ind w:left="720"/>
      <w:contextualSpacing/>
    </w:pPr>
    <w:rPr/>
  </w:style>
  <w:style w:type="paragraph" w:styleId="style29">
    <w:name w:val="footnote text"/>
    <w:basedOn w:val="style0"/>
    <w:next w:val="style29"/>
    <w:link w:val="style4101"/>
    <w:uiPriority w:val="99"/>
    <w:pPr>
      <w:spacing w:after="0" w:lineRule="auto" w:line="240"/>
    </w:pPr>
    <w:rPr>
      <w:sz w:val="20"/>
      <w:szCs w:val="20"/>
    </w:rPr>
  </w:style>
  <w:style w:type="character" w:customStyle="1" w:styleId="style4101">
    <w:name w:val="Footnote Text Char"/>
    <w:basedOn w:val="style65"/>
    <w:next w:val="style4101"/>
    <w:link w:val="style29"/>
    <w:uiPriority w:val="99"/>
    <w:rPr>
      <w:sz w:val="20"/>
      <w:szCs w:val="20"/>
    </w:rPr>
  </w:style>
  <w:style w:type="character" w:styleId="style38">
    <w:name w:val="footnote reference"/>
    <w:basedOn w:val="style65"/>
    <w:next w:val="style38"/>
    <w:uiPriority w:val="99"/>
    <w:rPr>
      <w:vertAlign w:val="superscript"/>
    </w:rPr>
  </w:style>
  <w:style w:type="character" w:styleId="style85">
    <w:name w:val="Hyperlink"/>
    <w:basedOn w:val="style65"/>
    <w:next w:val="style85"/>
    <w:uiPriority w:val="99"/>
    <w:rPr>
      <w:color w:val="0563c1"/>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11" Type="http://schemas.openxmlformats.org/officeDocument/2006/relationships/customXml" Target="../customXml/item2.xml"/><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2.jpeg"/></Relationships>
</file>

<file path=word/_rels/header3.xml.rels><?xml version="1.0" encoding="UTF-8"?>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8B2AE0-5C1F-4226-ADC0-17626E53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3131</TotalTime>
  <Words>2120</Words>
  <Pages>8</Pages>
  <Characters>10539</Characters>
  <Application>WPS Office</Application>
  <DocSecurity>0</DocSecurity>
  <Paragraphs>110</Paragraphs>
  <ScaleCrop>false</ScaleCrop>
  <LinksUpToDate>false</LinksUpToDate>
  <CharactersWithSpaces>12653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2020-05-05T03:16:00Z</dcterms:created>
  <dc:creator>USER</dc:creator>
  <lastModifiedBy>Infinix X606D</lastModifiedBy>
  <dcterms:modified xsi:type="dcterms:W3CDTF">2020-05-07T00:05:09Z</dcterms:modified>
  <revision>7</revision>
  <dc:subject>LPI 402</dc:subject>
  <dc:title>CONFLICT OF LAWS II</dc:title>
</coreProperties>
</file>

<file path=docProps/custom.xml><?xml version="1.0" encoding="utf-8"?>
<Properties xmlns="http://schemas.openxmlformats.org/officeDocument/2006/custom-properties" xmlns:vt="http://schemas.openxmlformats.org/officeDocument/2006/docPropsVTypes"/>
</file>