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11" w:rsidRDefault="00122511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Name: </w:t>
      </w:r>
      <w:proofErr w:type="spellStart"/>
      <w:r>
        <w:rPr>
          <w:rStyle w:val="CharAttribute0"/>
          <w:rFonts w:eastAsia="Batang"/>
          <w:sz w:val="28"/>
          <w:szCs w:val="28"/>
        </w:rPr>
        <w:t>odedina</w:t>
      </w:r>
      <w:proofErr w:type="spellEnd"/>
      <w:r>
        <w:rPr>
          <w:rStyle w:val="CharAttribute0"/>
          <w:rFonts w:eastAsia="Batang"/>
          <w:sz w:val="28"/>
          <w:szCs w:val="28"/>
        </w:rPr>
        <w:t xml:space="preserve"> </w:t>
      </w:r>
      <w:proofErr w:type="spellStart"/>
      <w:r>
        <w:rPr>
          <w:rStyle w:val="CharAttribute0"/>
          <w:rFonts w:eastAsia="Batang"/>
          <w:sz w:val="28"/>
          <w:szCs w:val="28"/>
        </w:rPr>
        <w:t>oluwajoba</w:t>
      </w:r>
      <w:proofErr w:type="spellEnd"/>
      <w:r>
        <w:rPr>
          <w:rStyle w:val="CharAttribute0"/>
          <w:rFonts w:eastAsia="Batang"/>
          <w:sz w:val="28"/>
          <w:szCs w:val="28"/>
        </w:rPr>
        <w:t xml:space="preserve"> </w:t>
      </w:r>
      <w:proofErr w:type="spellStart"/>
      <w:r>
        <w:rPr>
          <w:rStyle w:val="CharAttribute0"/>
          <w:rFonts w:eastAsia="Batang"/>
          <w:sz w:val="28"/>
          <w:szCs w:val="28"/>
        </w:rPr>
        <w:t>bolu</w:t>
      </w:r>
      <w:proofErr w:type="spellEnd"/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Matric no: 19/law01/164</w:t>
      </w:r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Course: legal method 102</w:t>
      </w:r>
    </w:p>
    <w:p w:rsidR="00122511" w:rsidRPr="00122511" w:rsidRDefault="00122511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</w:rPr>
      </w:pPr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</w:rPr>
      </w:pPr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</w:rPr>
      </w:pPr>
      <w:r>
        <w:rPr>
          <w:rStyle w:val="CharAttribute0"/>
          <w:rFonts w:eastAsia="Batang"/>
        </w:rPr>
        <w:tab/>
      </w:r>
      <w:r>
        <w:rPr>
          <w:rStyle w:val="CharAttribute0"/>
          <w:rFonts w:eastAsia="Batang"/>
        </w:rPr>
        <w:tab/>
      </w:r>
      <w:r>
        <w:rPr>
          <w:rStyle w:val="CharAttribute0"/>
          <w:rFonts w:eastAsia="Batang"/>
        </w:rPr>
        <w:tab/>
      </w:r>
      <w:r>
        <w:rPr>
          <w:rStyle w:val="CharAttribute0"/>
          <w:rFonts w:eastAsia="Batang"/>
        </w:rPr>
        <w:tab/>
      </w:r>
      <w:r>
        <w:rPr>
          <w:rStyle w:val="CharAttribute0"/>
          <w:rFonts w:eastAsia="Batang"/>
        </w:rPr>
        <w:tab/>
      </w:r>
    </w:p>
    <w:p w:rsidR="00122511" w:rsidRPr="00122511" w:rsidRDefault="00122511">
      <w:pPr>
        <w:pStyle w:val="ParaAttribute0"/>
        <w:spacing w:line="312" w:lineRule="auto"/>
        <w:rPr>
          <w:rStyle w:val="CharAttribute0"/>
          <w:rFonts w:eastAsia="Batang"/>
          <w:sz w:val="28"/>
          <w:szCs w:val="28"/>
        </w:rPr>
      </w:pPr>
    </w:p>
    <w:p w:rsidR="00122511" w:rsidRDefault="00122511" w:rsidP="00122511">
      <w:pPr>
        <w:pStyle w:val="ParaAttribute0"/>
        <w:spacing w:line="312" w:lineRule="auto"/>
        <w:ind w:left="4320"/>
        <w:rPr>
          <w:rStyle w:val="CharAttribute0"/>
          <w:rFonts w:eastAsia="Batang"/>
        </w:rPr>
      </w:pPr>
      <w:r>
        <w:rPr>
          <w:rStyle w:val="CharAttribute0"/>
          <w:rFonts w:eastAsia="Batang"/>
        </w:rPr>
        <w:t>Assignment</w:t>
      </w:r>
    </w:p>
    <w:p w:rsidR="00122511" w:rsidRDefault="00122511" w:rsidP="00122511">
      <w:pPr>
        <w:pStyle w:val="ParaAttribute0"/>
        <w:spacing w:line="312" w:lineRule="auto"/>
        <w:ind w:left="4320"/>
        <w:rPr>
          <w:rStyle w:val="CharAttribute0"/>
          <w:rFonts w:eastAsia="Batang"/>
        </w:rPr>
      </w:pPr>
    </w:p>
    <w:p w:rsidR="00122511" w:rsidRDefault="00122511" w:rsidP="00122511">
      <w:pPr>
        <w:pStyle w:val="ParaAttribute0"/>
        <w:numPr>
          <w:ilvl w:val="0"/>
          <w:numId w:val="2"/>
        </w:numPr>
        <w:spacing w:line="312" w:lineRule="auto"/>
        <w:rPr>
          <w:rStyle w:val="CharAttribute0"/>
          <w:rFonts w:eastAsia="Batang"/>
        </w:rPr>
      </w:pPr>
      <w:r>
        <w:rPr>
          <w:rStyle w:val="CharAttribute0"/>
          <w:rFonts w:eastAsia="Batang"/>
        </w:rPr>
        <w:t xml:space="preserve">Discuss on the secondary sources of law </w:t>
      </w:r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</w:rPr>
      </w:pPr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</w:rPr>
      </w:pPr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</w:rPr>
      </w:pPr>
    </w:p>
    <w:p w:rsidR="00122511" w:rsidRDefault="00122511">
      <w:pPr>
        <w:pStyle w:val="ParaAttribute0"/>
        <w:spacing w:line="312" w:lineRule="auto"/>
        <w:rPr>
          <w:rStyle w:val="CharAttribute0"/>
          <w:rFonts w:eastAsia="Batang"/>
        </w:rPr>
      </w:pPr>
    </w:p>
    <w:p w:rsidR="00C32F3B" w:rsidRPr="00122511" w:rsidRDefault="00C20D38">
      <w:pPr>
        <w:pStyle w:val="ParaAttribute0"/>
        <w:spacing w:line="312" w:lineRule="auto"/>
        <w:rPr>
          <w:rFonts w:eastAsia="Times New Roman"/>
          <w:sz w:val="32"/>
          <w:szCs w:val="32"/>
        </w:rPr>
      </w:pPr>
      <w:r w:rsidRPr="00122511">
        <w:rPr>
          <w:rStyle w:val="CharAttribute0"/>
          <w:rFonts w:eastAsia="Batang"/>
          <w:sz w:val="32"/>
          <w:szCs w:val="32"/>
        </w:rPr>
        <w:t>Secondary Sources of Nigerian Law</w:t>
      </w:r>
    </w:p>
    <w:p w:rsidR="00C32F3B" w:rsidRDefault="00C32F3B" w:rsidP="00C20D38">
      <w:pPr>
        <w:pStyle w:val="ParaAttribute0"/>
        <w:spacing w:line="312" w:lineRule="auto"/>
        <w:jc w:val="both"/>
        <w:rPr>
          <w:rFonts w:eastAsia="Times New Roman"/>
        </w:rPr>
      </w:pP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Secondary sources of law are the sources of law that do not carry a dominant legal weight and binding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effect. The legal authorities contained in these kind of sources are diluted and persuasive which are not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 xml:space="preserve">binding on any court of law. According to </w:t>
      </w:r>
      <w:proofErr w:type="spellStart"/>
      <w:r>
        <w:rPr>
          <w:rStyle w:val="CharAttribute0"/>
          <w:rFonts w:eastAsia="Batang"/>
        </w:rPr>
        <w:t>Beredugo</w:t>
      </w:r>
      <w:proofErr w:type="spellEnd"/>
      <w:r>
        <w:rPr>
          <w:rStyle w:val="CharAttribute0"/>
          <w:rFonts w:eastAsia="Batang"/>
        </w:rPr>
        <w:t xml:space="preserve"> (2009), secondary sources of law are less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significance sources of law that carry barely persuasive legal authority or effect and are therefore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not binding on any court of law. Secondary sources can be useful in court of law or resorted to where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the court finds the opinion or fact underlying the authority contained therein. Secondary sources can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also be referred to in court if it supports the authorities of the primary sources. Examples of secondary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 xml:space="preserve">sources of Nigerian law according to </w:t>
      </w:r>
      <w:proofErr w:type="spellStart"/>
      <w:r>
        <w:rPr>
          <w:rStyle w:val="CharAttribute0"/>
          <w:rFonts w:eastAsia="Batang"/>
        </w:rPr>
        <w:t>Beredugo</w:t>
      </w:r>
      <w:proofErr w:type="spellEnd"/>
      <w:r>
        <w:rPr>
          <w:rStyle w:val="CharAttribute0"/>
          <w:rFonts w:eastAsia="Batang"/>
        </w:rPr>
        <w:t xml:space="preserve"> includes:</w:t>
      </w:r>
    </w:p>
    <w:p w:rsidR="00EF2EFF" w:rsidRDefault="00EF2EFF" w:rsidP="00C20D38">
      <w:pPr>
        <w:pStyle w:val="ParaAttribute0"/>
        <w:spacing w:line="312" w:lineRule="auto"/>
        <w:jc w:val="both"/>
        <w:rPr>
          <w:rStyle w:val="CharAttribute0"/>
          <w:rFonts w:eastAsia="Batang"/>
        </w:rPr>
      </w:pP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(a) decisions of courts of foreign countries</w:t>
      </w:r>
    </w:p>
    <w:p w:rsidR="00EF2EFF" w:rsidRDefault="00EF2EFF" w:rsidP="00C20D38">
      <w:pPr>
        <w:pStyle w:val="ParaAttribute0"/>
        <w:spacing w:line="312" w:lineRule="auto"/>
        <w:jc w:val="both"/>
        <w:rPr>
          <w:rStyle w:val="CharAttribute0"/>
          <w:rFonts w:eastAsia="Batang"/>
        </w:rPr>
      </w:pP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(b) International conventions, treaties, and resolutions of international bodies;</w:t>
      </w:r>
    </w:p>
    <w:p w:rsidR="00EF2EFF" w:rsidRDefault="00EF2EFF" w:rsidP="00C20D38">
      <w:pPr>
        <w:pStyle w:val="ParaAttribute0"/>
        <w:spacing w:line="312" w:lineRule="auto"/>
        <w:jc w:val="both"/>
        <w:rPr>
          <w:rStyle w:val="CharAttribute0"/>
          <w:rFonts w:eastAsia="Batang"/>
        </w:rPr>
      </w:pP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(c) Statements or opinions of jurists and learned authors contained in law textbooks, journal,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periodicals, dictionaries, letters, speeches, and interviews;</w:t>
      </w:r>
    </w:p>
    <w:p w:rsidR="00EF2EFF" w:rsidRDefault="00EF2EFF" w:rsidP="00C20D38">
      <w:pPr>
        <w:pStyle w:val="ParaAttribute0"/>
        <w:spacing w:line="312" w:lineRule="auto"/>
        <w:jc w:val="both"/>
        <w:rPr>
          <w:rStyle w:val="CharAttribute0"/>
          <w:rFonts w:eastAsia="Batang"/>
        </w:rPr>
      </w:pP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(d) legal opinions contained in nullified judgements.</w:t>
      </w:r>
    </w:p>
    <w:p w:rsidR="00EF2EFF" w:rsidRDefault="00EF2EFF" w:rsidP="00C20D38">
      <w:pPr>
        <w:pStyle w:val="ParaAttribute0"/>
        <w:spacing w:line="312" w:lineRule="auto"/>
        <w:jc w:val="both"/>
        <w:rPr>
          <w:rStyle w:val="CharAttribute0"/>
          <w:rFonts w:eastAsia="Batang"/>
        </w:rPr>
      </w:pPr>
    </w:p>
    <w:p w:rsidR="00395AA4" w:rsidRDefault="00395AA4" w:rsidP="00C20D38">
      <w:pPr>
        <w:pStyle w:val="ParaAttribute0"/>
        <w:spacing w:line="312" w:lineRule="auto"/>
        <w:jc w:val="both"/>
        <w:rPr>
          <w:rStyle w:val="CharAttribute0"/>
          <w:rFonts w:eastAsia="Batang"/>
        </w:rPr>
      </w:pPr>
      <w:r>
        <w:rPr>
          <w:rStyle w:val="CharAttribute0"/>
          <w:rFonts w:eastAsia="Batang"/>
        </w:rPr>
        <w:t>(e) law reports,</w:t>
      </w:r>
      <w:r w:rsidR="00C20D38">
        <w:rPr>
          <w:rStyle w:val="CharAttribute0"/>
          <w:rFonts w:eastAsia="Batang"/>
        </w:rPr>
        <w:t xml:space="preserve"> which</w:t>
      </w:r>
      <w:r>
        <w:rPr>
          <w:rStyle w:val="CharAttribute0"/>
          <w:rFonts w:eastAsia="Batang"/>
        </w:rPr>
        <w:t xml:space="preserve"> are series of books that contain judicial opinions from a section of precedents decided by courts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The law reports that have been published over the years in Nigeria include the following: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Nigeria Law Report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All Federation Weekly Law Reports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All Nigeria Law Reports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Commercial Law reports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Customary law in Nigeria through the cases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lastRenderedPageBreak/>
        <w:t>Eastern Region of Nigeria Law Reports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Election Petition Reports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Failed Banks Tribunal of Nigeria Law Reports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Federal Reporter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Federation of Nigeria Law Reports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Federation Weekly Law Reports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Judgement of the Supreme Court of Nigeria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Law Reports of Nigeria</w:t>
      </w:r>
    </w:p>
    <w:p w:rsidR="004A15F6" w:rsidRDefault="004A15F6" w:rsidP="004A15F6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Monthly Judgments of the Supreme Court of Nigeria</w:t>
      </w:r>
    </w:p>
    <w:p w:rsidR="00395AA4" w:rsidRDefault="00395AA4" w:rsidP="00C20D38">
      <w:pPr>
        <w:pStyle w:val="ParaAttribute0"/>
        <w:spacing w:line="312" w:lineRule="auto"/>
        <w:jc w:val="both"/>
        <w:rPr>
          <w:rStyle w:val="CharAttribute0"/>
          <w:rFonts w:eastAsia="Batang"/>
        </w:rPr>
      </w:pP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Secondary sources of law also include all sources that provide helpful introductions to legal subjects,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synopses of decisions, statutes, and regulations in a given field, analyses of trends and historical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background of law, explanation of new or difficult concepts, descriptions and analysis of the law and</w:t>
      </w:r>
    </w:p>
    <w:p w:rsidR="00C32F3B" w:rsidRDefault="00C20D38" w:rsidP="00C20D38">
      <w:pPr>
        <w:pStyle w:val="ParaAttribute0"/>
        <w:spacing w:line="312" w:lineRule="auto"/>
        <w:jc w:val="both"/>
        <w:rPr>
          <w:rFonts w:eastAsia="Times New Roman"/>
        </w:rPr>
      </w:pPr>
      <w:r>
        <w:rPr>
          <w:rStyle w:val="CharAttribute0"/>
          <w:rFonts w:eastAsia="Batang"/>
        </w:rPr>
        <w:t>its developments and citations t</w:t>
      </w:r>
      <w:bookmarkStart w:id="0" w:name="_GoBack"/>
      <w:bookmarkEnd w:id="0"/>
      <w:r>
        <w:rPr>
          <w:rStyle w:val="CharAttribute0"/>
          <w:rFonts w:eastAsia="Batang"/>
        </w:rPr>
        <w:t>o primary sources through footnotes and annotations.</w:t>
      </w:r>
    </w:p>
    <w:sectPr w:rsidR="00C32F3B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615"/>
    <w:multiLevelType w:val="hybridMultilevel"/>
    <w:tmpl w:val="8E46B7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FC32BA9"/>
    <w:multiLevelType w:val="hybridMultilevel"/>
    <w:tmpl w:val="79AA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3B"/>
    <w:rsid w:val="00122511"/>
    <w:rsid w:val="00395AA4"/>
    <w:rsid w:val="004A15F6"/>
    <w:rsid w:val="008C2780"/>
    <w:rsid w:val="00AB609D"/>
    <w:rsid w:val="00C20D38"/>
    <w:rsid w:val="00C319DE"/>
    <w:rsid w:val="00C32F3B"/>
    <w:rsid w:val="00EF2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290F10-236B-4FF2-84BF-7E84E439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1994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2020-05-07T01:41:00Z</dcterms:created>
  <dcterms:modified xsi:type="dcterms:W3CDTF">2020-05-07T09:10:00Z</dcterms:modified>
</cp:coreProperties>
</file>