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D2" w:rsidRDefault="00A72DD2" w:rsidP="00CC2CEC">
      <w:pPr>
        <w:spacing w:line="360" w:lineRule="auto"/>
        <w:rPr>
          <w:rFonts w:ascii="Times New Roman" w:hAnsi="Times New Roman" w:cs="Times New Roman"/>
          <w:sz w:val="24"/>
          <w:szCs w:val="24"/>
        </w:rPr>
      </w:pPr>
      <w:r>
        <w:rPr>
          <w:rFonts w:ascii="Times New Roman" w:hAnsi="Times New Roman" w:cs="Times New Roman"/>
          <w:sz w:val="24"/>
          <w:szCs w:val="24"/>
        </w:rPr>
        <w:t>NAME: NGIGE CHIOMA DAISY</w:t>
      </w:r>
    </w:p>
    <w:p w:rsidR="00A72DD2" w:rsidRDefault="00A72DD2" w:rsidP="00CC2CEC">
      <w:pPr>
        <w:spacing w:line="360" w:lineRule="auto"/>
        <w:rPr>
          <w:rFonts w:ascii="Times New Roman" w:hAnsi="Times New Roman" w:cs="Times New Roman"/>
          <w:sz w:val="24"/>
          <w:szCs w:val="24"/>
        </w:rPr>
      </w:pPr>
      <w:r>
        <w:rPr>
          <w:rFonts w:ascii="Times New Roman" w:hAnsi="Times New Roman" w:cs="Times New Roman"/>
          <w:sz w:val="24"/>
          <w:szCs w:val="24"/>
        </w:rPr>
        <w:t>LEVEL: 300</w:t>
      </w:r>
    </w:p>
    <w:p w:rsidR="00A72DD2" w:rsidRDefault="00A72DD2" w:rsidP="00CC2CEC">
      <w:pPr>
        <w:spacing w:line="360" w:lineRule="auto"/>
        <w:rPr>
          <w:rFonts w:ascii="Times New Roman" w:hAnsi="Times New Roman" w:cs="Times New Roman"/>
          <w:sz w:val="24"/>
          <w:szCs w:val="24"/>
        </w:rPr>
      </w:pPr>
      <w:r>
        <w:rPr>
          <w:rFonts w:ascii="Times New Roman" w:hAnsi="Times New Roman" w:cs="Times New Roman"/>
          <w:sz w:val="24"/>
          <w:szCs w:val="24"/>
        </w:rPr>
        <w:t>MATRICULATION NUMBER: 17/LAW01/185</w:t>
      </w:r>
    </w:p>
    <w:p w:rsidR="00A72DD2" w:rsidRDefault="00A72DD2" w:rsidP="00CC2CEC">
      <w:pPr>
        <w:spacing w:line="360" w:lineRule="auto"/>
        <w:rPr>
          <w:rFonts w:ascii="Times New Roman" w:hAnsi="Times New Roman" w:cs="Times New Roman"/>
          <w:sz w:val="24"/>
          <w:szCs w:val="24"/>
        </w:rPr>
      </w:pPr>
      <w:r>
        <w:rPr>
          <w:rFonts w:ascii="Times New Roman" w:hAnsi="Times New Roman" w:cs="Times New Roman"/>
          <w:sz w:val="24"/>
          <w:szCs w:val="24"/>
        </w:rPr>
        <w:t>COURSE: LAW</w:t>
      </w:r>
    </w:p>
    <w:p w:rsidR="00A72DD2" w:rsidRDefault="00A72DD2" w:rsidP="00CC2CEC">
      <w:pPr>
        <w:spacing w:line="360" w:lineRule="auto"/>
        <w:rPr>
          <w:rFonts w:ascii="Times New Roman" w:hAnsi="Times New Roman" w:cs="Times New Roman"/>
          <w:sz w:val="24"/>
          <w:szCs w:val="24"/>
        </w:rPr>
      </w:pPr>
      <w:r>
        <w:rPr>
          <w:rFonts w:ascii="Times New Roman" w:hAnsi="Times New Roman" w:cs="Times New Roman"/>
          <w:sz w:val="24"/>
          <w:szCs w:val="24"/>
        </w:rPr>
        <w:t>QUESTION: DISCUSS THE RELEVANCE OF PASSING OFF AS A FORM OF ECONOMIC TORTS IN THE 21</w:t>
      </w:r>
      <w:r w:rsidRPr="00A72DD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bookmarkStart w:id="0" w:name="_GoBack"/>
      <w:bookmarkEnd w:id="0"/>
    </w:p>
    <w:p w:rsidR="00A72DD2" w:rsidRDefault="00A72DD2" w:rsidP="00CC2CEC">
      <w:pPr>
        <w:spacing w:line="360" w:lineRule="auto"/>
        <w:rPr>
          <w:rFonts w:ascii="Times New Roman" w:hAnsi="Times New Roman" w:cs="Times New Roman"/>
          <w:sz w:val="24"/>
          <w:szCs w:val="24"/>
        </w:rPr>
      </w:pPr>
    </w:p>
    <w:p w:rsidR="00A72DD2" w:rsidRDefault="00A72DD2" w:rsidP="00CC2CEC">
      <w:pPr>
        <w:spacing w:line="360" w:lineRule="auto"/>
        <w:rPr>
          <w:rFonts w:ascii="Times New Roman" w:hAnsi="Times New Roman" w:cs="Times New Roman"/>
          <w:sz w:val="24"/>
          <w:szCs w:val="24"/>
        </w:rPr>
      </w:pPr>
    </w:p>
    <w:p w:rsidR="00A72DD2" w:rsidRDefault="00A72DD2" w:rsidP="00CC2CEC">
      <w:pPr>
        <w:spacing w:line="360" w:lineRule="auto"/>
        <w:rPr>
          <w:rFonts w:ascii="Times New Roman" w:hAnsi="Times New Roman" w:cs="Times New Roman"/>
          <w:sz w:val="24"/>
          <w:szCs w:val="24"/>
        </w:rPr>
      </w:pPr>
    </w:p>
    <w:p w:rsidR="003A514D" w:rsidRDefault="007C2F7C" w:rsidP="00CC2CEC">
      <w:p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rsidR="007C2F7C" w:rsidRDefault="007C2F7C" w:rsidP="00CC2CEC">
      <w:pPr>
        <w:spacing w:line="360" w:lineRule="auto"/>
        <w:rPr>
          <w:rFonts w:ascii="Times New Roman" w:hAnsi="Times New Roman" w:cs="Times New Roman"/>
          <w:sz w:val="24"/>
          <w:szCs w:val="24"/>
        </w:rPr>
      </w:pPr>
      <w:r w:rsidRPr="007C2F7C">
        <w:rPr>
          <w:rFonts w:ascii="Times New Roman" w:hAnsi="Times New Roman" w:cs="Times New Roman"/>
          <w:sz w:val="24"/>
          <w:szCs w:val="24"/>
        </w:rPr>
        <w:t xml:space="preserve">The ECONOMIC TORTS, as their name proposes, have as their essential capacity, the assurance of petitioner's financial advantages. They incorporate the torts of basic connivance, unlawful scheme, prompting break of agreement, terrorizing, unlawful impedance with exchange, misdirection, and malignant deception. These are torts of aim. They additionally incorporate going off, a standout amongst the most helpful of the monetary torts, which however practically speaking regularly including intentional damage, is in reality a tort of strict risk. At long last, the monetary torts likewise incorporate the tort of carelessness, however connected barely. It is normal to isolate the financial torts into two classes: the general torts and the distortion torts. The general monetary torts include scheme, instigating rupture of agreement, terrorizing, and unlawful obstruction with exchange. The deception monetary torts are duplicity, noxious [4] misrepresentation, and going off. Be that as it may, it is an error to make such an unbending division while </w:t>
      </w:r>
      <w:proofErr w:type="gramStart"/>
      <w:r w:rsidRPr="007C2F7C">
        <w:rPr>
          <w:rFonts w:ascii="Times New Roman" w:hAnsi="Times New Roman" w:cs="Times New Roman"/>
          <w:sz w:val="24"/>
          <w:szCs w:val="24"/>
        </w:rPr>
        <w:t>endeavoring</w:t>
      </w:r>
      <w:proofErr w:type="gramEnd"/>
      <w:r w:rsidRPr="007C2F7C">
        <w:rPr>
          <w:rFonts w:ascii="Times New Roman" w:hAnsi="Times New Roman" w:cs="Times New Roman"/>
          <w:sz w:val="24"/>
          <w:szCs w:val="24"/>
        </w:rPr>
        <w:t xml:space="preserve"> an appropriate examination.</w:t>
      </w:r>
    </w:p>
    <w:p w:rsidR="00C356C4" w:rsidRDefault="00C356C4" w:rsidP="00CC2CEC">
      <w:pPr>
        <w:spacing w:line="360" w:lineRule="auto"/>
        <w:rPr>
          <w:rFonts w:ascii="Times New Roman" w:hAnsi="Times New Roman" w:cs="Times New Roman"/>
          <w:sz w:val="24"/>
          <w:szCs w:val="24"/>
        </w:rPr>
      </w:pPr>
    </w:p>
    <w:p w:rsidR="00EB492D" w:rsidRDefault="00EB492D" w:rsidP="00CC2CEC">
      <w:pPr>
        <w:spacing w:line="360" w:lineRule="auto"/>
        <w:rPr>
          <w:rFonts w:ascii="Times New Roman" w:hAnsi="Times New Roman" w:cs="Times New Roman"/>
          <w:sz w:val="24"/>
          <w:szCs w:val="24"/>
        </w:rPr>
      </w:pPr>
      <w:r>
        <w:rPr>
          <w:rFonts w:ascii="Times New Roman" w:hAnsi="Times New Roman" w:cs="Times New Roman"/>
          <w:sz w:val="24"/>
          <w:szCs w:val="24"/>
        </w:rPr>
        <w:t>WHAT IS THE ECONOMIC TORT OF PASSING OFF?</w:t>
      </w:r>
    </w:p>
    <w:p w:rsidR="00EB492D" w:rsidRDefault="00EB492D" w:rsidP="00CC2CE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doctrine of passing off may be seen as the selling of goods or the carrying on of a business in such a manner as to mislead the public into believing that the defendant’s product or business is that of the plaintiff, and the </w:t>
      </w:r>
      <w:r w:rsidR="00C356C4">
        <w:rPr>
          <w:rStyle w:val="FootnoteReference"/>
          <w:rFonts w:ascii="Times New Roman" w:hAnsi="Times New Roman" w:cs="Times New Roman"/>
          <w:sz w:val="24"/>
          <w:szCs w:val="24"/>
        </w:rPr>
        <w:footnoteReference w:id="1"/>
      </w:r>
      <w:r w:rsidR="00C356C4">
        <w:rPr>
          <w:rFonts w:ascii="Times New Roman" w:hAnsi="Times New Roman" w:cs="Times New Roman"/>
          <w:sz w:val="24"/>
          <w:szCs w:val="24"/>
        </w:rPr>
        <w:t>‘</w:t>
      </w:r>
      <w:r>
        <w:rPr>
          <w:rFonts w:ascii="Times New Roman" w:hAnsi="Times New Roman" w:cs="Times New Roman"/>
          <w:sz w:val="24"/>
          <w:szCs w:val="24"/>
        </w:rPr>
        <w:t>‘law on this matter is designed to protect traders against that form of unfair competition which consists in acquiring for oneself, by means of false or misleading devices, the benefit of the reputation already achieved by rival trader.</w:t>
      </w:r>
      <w:r w:rsidR="00C356C4">
        <w:rPr>
          <w:rFonts w:ascii="Times New Roman" w:hAnsi="Times New Roman" w:cs="Times New Roman"/>
          <w:sz w:val="24"/>
          <w:szCs w:val="24"/>
        </w:rPr>
        <w:t>’’</w:t>
      </w:r>
      <w:r w:rsidR="00C356C4">
        <w:rPr>
          <w:rStyle w:val="FootnoteReference"/>
          <w:rFonts w:ascii="Times New Roman" w:hAnsi="Times New Roman" w:cs="Times New Roman"/>
          <w:sz w:val="24"/>
          <w:szCs w:val="24"/>
        </w:rPr>
        <w:footnoteReference w:id="2"/>
      </w:r>
      <w:r w:rsidR="00CF5DFB">
        <w:rPr>
          <w:rFonts w:ascii="Times New Roman" w:hAnsi="Times New Roman" w:cs="Times New Roman"/>
          <w:sz w:val="24"/>
          <w:szCs w:val="24"/>
        </w:rPr>
        <w:t xml:space="preserve"> Where passing off is proved, the plaintiff will be </w:t>
      </w:r>
      <w:proofErr w:type="spellStart"/>
      <w:r w:rsidR="00CF5DFB">
        <w:rPr>
          <w:rFonts w:ascii="Times New Roman" w:hAnsi="Times New Roman" w:cs="Times New Roman"/>
          <w:sz w:val="24"/>
          <w:szCs w:val="24"/>
        </w:rPr>
        <w:t>enetitled</w:t>
      </w:r>
      <w:proofErr w:type="spellEnd"/>
      <w:r w:rsidR="00CF5DFB">
        <w:rPr>
          <w:rFonts w:ascii="Times New Roman" w:hAnsi="Times New Roman" w:cs="Times New Roman"/>
          <w:sz w:val="24"/>
          <w:szCs w:val="24"/>
        </w:rPr>
        <w:t xml:space="preserve"> to an </w:t>
      </w:r>
      <w:proofErr w:type="spellStart"/>
      <w:r w:rsidR="00CF5DFB">
        <w:rPr>
          <w:rFonts w:ascii="Times New Roman" w:hAnsi="Times New Roman" w:cs="Times New Roman"/>
          <w:sz w:val="24"/>
          <w:szCs w:val="24"/>
        </w:rPr>
        <w:t>injuction</w:t>
      </w:r>
      <w:proofErr w:type="spellEnd"/>
      <w:r w:rsidR="00CF5DFB">
        <w:rPr>
          <w:rFonts w:ascii="Times New Roman" w:hAnsi="Times New Roman" w:cs="Times New Roman"/>
          <w:sz w:val="24"/>
          <w:szCs w:val="24"/>
        </w:rPr>
        <w:t xml:space="preserve"> restraining the defendant from continuing the wrong to damages for any loss he has incurred thereby and to an account of the profits made by the defendant in consequence of the tort. </w:t>
      </w:r>
      <w:proofErr w:type="gramStart"/>
      <w:r w:rsidR="00CF5DFB">
        <w:rPr>
          <w:rFonts w:ascii="Times New Roman" w:hAnsi="Times New Roman" w:cs="Times New Roman"/>
          <w:sz w:val="24"/>
          <w:szCs w:val="24"/>
        </w:rPr>
        <w:t>Passing off takes various forms, the most common of which are following.</w:t>
      </w:r>
      <w:proofErr w:type="gramEnd"/>
    </w:p>
    <w:p w:rsidR="00CD3F19" w:rsidRDefault="00CD3F19" w:rsidP="00CC2CEC">
      <w:pPr>
        <w:spacing w:line="360" w:lineRule="auto"/>
        <w:rPr>
          <w:rFonts w:ascii="Times New Roman" w:hAnsi="Times New Roman" w:cs="Times New Roman"/>
          <w:sz w:val="24"/>
          <w:szCs w:val="24"/>
        </w:rPr>
      </w:pPr>
      <w:r>
        <w:rPr>
          <w:rFonts w:ascii="Times New Roman" w:hAnsi="Times New Roman" w:cs="Times New Roman"/>
          <w:sz w:val="24"/>
          <w:szCs w:val="24"/>
        </w:rPr>
        <w:t>TYPES OF PASSING OFF</w:t>
      </w:r>
    </w:p>
    <w:p w:rsidR="00CD3F19" w:rsidRDefault="00CD3F19" w:rsidP="00CD3F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A PRODUCT AS THAT OF THE PLAINTIFF</w:t>
      </w:r>
    </w:p>
    <w:p w:rsidR="00CD3F19" w:rsidRDefault="00CD3F19" w:rsidP="00CD3F1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It is actionable passing off for the defendant to sell merchandise with a direct statement that the goods are manufactured by the plaintiff, when in fact they are not. It would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off for X a manufacturer of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to advertise and sell his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as Dunlop or Michelin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since this would be an obvious attempt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profit from the goodwill and reputation established by rival businesses. Also, it has been held actionable for a book publisher to advertise and sell a book of </w:t>
      </w:r>
      <w:r w:rsidR="00654A5D">
        <w:rPr>
          <w:rFonts w:ascii="Times New Roman" w:hAnsi="Times New Roman" w:cs="Times New Roman"/>
          <w:sz w:val="24"/>
          <w:szCs w:val="24"/>
        </w:rPr>
        <w:t xml:space="preserve">poems with the name of Lord Byron on the </w:t>
      </w:r>
      <w:proofErr w:type="spellStart"/>
      <w:r w:rsidR="00654A5D">
        <w:rPr>
          <w:rFonts w:ascii="Times New Roman" w:hAnsi="Times New Roman" w:cs="Times New Roman"/>
          <w:sz w:val="24"/>
          <w:szCs w:val="24"/>
        </w:rPr>
        <w:t>titlt</w:t>
      </w:r>
      <w:proofErr w:type="spellEnd"/>
      <w:r w:rsidR="00654A5D">
        <w:rPr>
          <w:rFonts w:ascii="Times New Roman" w:hAnsi="Times New Roman" w:cs="Times New Roman"/>
          <w:sz w:val="24"/>
          <w:szCs w:val="24"/>
        </w:rPr>
        <w:t>-page when in fact that famous poet had nothing to do with its authorship.</w:t>
      </w:r>
      <w:r w:rsidR="00654A5D">
        <w:rPr>
          <w:rStyle w:val="FootnoteReference"/>
          <w:rFonts w:ascii="Times New Roman" w:hAnsi="Times New Roman" w:cs="Times New Roman"/>
          <w:sz w:val="24"/>
          <w:szCs w:val="24"/>
        </w:rPr>
        <w:footnoteReference w:id="3"/>
      </w:r>
    </w:p>
    <w:p w:rsidR="00654A5D" w:rsidRDefault="00654A5D" w:rsidP="00654A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TRADING UNDER A NAME SO CLOSELY RESEMBLING THAT OF  THE PLAINTIFF AS TO BE LIKELY</w:t>
      </w:r>
      <w:r w:rsidR="00EE4688">
        <w:rPr>
          <w:rFonts w:ascii="Times New Roman" w:hAnsi="Times New Roman" w:cs="Times New Roman"/>
          <w:sz w:val="24"/>
          <w:szCs w:val="24"/>
        </w:rPr>
        <w:t xml:space="preserve"> TO MISLEAD THE PUBLIC INTO BELIEVING THAT THE DEFENDANT’S BUSINESS AND THAT OF THE PLAINTIFF ARE ONE AND THE SAME</w:t>
      </w:r>
    </w:p>
    <w:p w:rsidR="00EE4688" w:rsidRDefault="00EE4688" w:rsidP="00EE468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 well-known example of this type of passing-off is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v Montagu,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where the Universal Life Assurance Society were granted an </w:t>
      </w:r>
      <w:proofErr w:type="spellStart"/>
      <w:r>
        <w:rPr>
          <w:rFonts w:ascii="Times New Roman" w:hAnsi="Times New Roman" w:cs="Times New Roman"/>
          <w:sz w:val="24"/>
          <w:szCs w:val="24"/>
        </w:rPr>
        <w:t>injuction</w:t>
      </w:r>
      <w:proofErr w:type="spellEnd"/>
      <w:r>
        <w:rPr>
          <w:rFonts w:ascii="Times New Roman" w:hAnsi="Times New Roman" w:cs="Times New Roman"/>
          <w:sz w:val="24"/>
          <w:szCs w:val="24"/>
        </w:rPr>
        <w:t xml:space="preserve"> restraining the defendant’s company, which was incorporated subsequently, from carrying on business</w:t>
      </w:r>
      <w:r w:rsidR="00687871">
        <w:rPr>
          <w:rFonts w:ascii="Times New Roman" w:hAnsi="Times New Roman" w:cs="Times New Roman"/>
          <w:sz w:val="24"/>
          <w:szCs w:val="24"/>
        </w:rPr>
        <w:t xml:space="preserve"> under the name ‘Universe Life Assurance Association</w:t>
      </w:r>
      <w:r w:rsidR="00207E3E">
        <w:rPr>
          <w:rFonts w:ascii="Times New Roman" w:hAnsi="Times New Roman" w:cs="Times New Roman"/>
          <w:sz w:val="24"/>
          <w:szCs w:val="24"/>
        </w:rPr>
        <w:t>’.</w:t>
      </w:r>
    </w:p>
    <w:p w:rsidR="00207E3E" w:rsidRDefault="00207E3E" w:rsidP="00EE468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principle in </w:t>
      </w:r>
      <w:proofErr w:type="spellStart"/>
      <w:r>
        <w:rPr>
          <w:rFonts w:ascii="Times New Roman" w:hAnsi="Times New Roman" w:cs="Times New Roman"/>
          <w:sz w:val="24"/>
          <w:szCs w:val="24"/>
        </w:rPr>
        <w:t>Hendriks</w:t>
      </w:r>
      <w:proofErr w:type="spellEnd"/>
      <w:r>
        <w:rPr>
          <w:rFonts w:ascii="Times New Roman" w:hAnsi="Times New Roman" w:cs="Times New Roman"/>
          <w:sz w:val="24"/>
          <w:szCs w:val="24"/>
        </w:rPr>
        <w:t xml:space="preserve"> v. Montagu was </w:t>
      </w:r>
      <w:proofErr w:type="spellStart"/>
      <w:r>
        <w:rPr>
          <w:rFonts w:ascii="Times New Roman" w:hAnsi="Times New Roman" w:cs="Times New Roman"/>
          <w:sz w:val="24"/>
          <w:szCs w:val="24"/>
        </w:rPr>
        <w:t>appied</w:t>
      </w:r>
      <w:proofErr w:type="spellEnd"/>
      <w:r>
        <w:rPr>
          <w:rFonts w:ascii="Times New Roman" w:hAnsi="Times New Roman" w:cs="Times New Roman"/>
          <w:sz w:val="24"/>
          <w:szCs w:val="24"/>
        </w:rPr>
        <w:t xml:space="preserve"> in Niger Chemists Ltd v Nigeria Chemists</w:t>
      </w:r>
      <w:r>
        <w:rPr>
          <w:rStyle w:val="FootnoteReference"/>
          <w:rFonts w:ascii="Times New Roman" w:hAnsi="Times New Roman" w:cs="Times New Roman"/>
          <w:sz w:val="24"/>
          <w:szCs w:val="24"/>
        </w:rPr>
        <w:footnoteReference w:id="5"/>
      </w:r>
      <w:r w:rsidR="005A1513">
        <w:rPr>
          <w:rFonts w:ascii="Times New Roman" w:hAnsi="Times New Roman" w:cs="Times New Roman"/>
          <w:sz w:val="24"/>
          <w:szCs w:val="24"/>
        </w:rPr>
        <w:t xml:space="preserve">. In this case the plaintiffs had carried on business as chemists and druggists for several years, and had several branches in </w:t>
      </w:r>
      <w:proofErr w:type="spellStart"/>
      <w:r w:rsidR="005A1513">
        <w:rPr>
          <w:rFonts w:ascii="Times New Roman" w:hAnsi="Times New Roman" w:cs="Times New Roman"/>
          <w:sz w:val="24"/>
          <w:szCs w:val="24"/>
        </w:rPr>
        <w:t>Onitisha</w:t>
      </w:r>
      <w:proofErr w:type="spellEnd"/>
      <w:r w:rsidR="005A1513">
        <w:rPr>
          <w:rFonts w:ascii="Times New Roman" w:hAnsi="Times New Roman" w:cs="Times New Roman"/>
          <w:sz w:val="24"/>
          <w:szCs w:val="24"/>
        </w:rPr>
        <w:t xml:space="preserve"> and other towns in what was then Eastern Nigeria. The defendants later founded a firm carrying on exactly the same type of business in Onitsha under the n</w:t>
      </w:r>
      <w:r w:rsidR="008560A3">
        <w:rPr>
          <w:rFonts w:ascii="Times New Roman" w:hAnsi="Times New Roman" w:cs="Times New Roman"/>
          <w:sz w:val="24"/>
          <w:szCs w:val="24"/>
        </w:rPr>
        <w:t xml:space="preserve">ame ‘Nigerian Chemists’. The plaintiffs contended that the </w:t>
      </w:r>
      <w:proofErr w:type="gramStart"/>
      <w:r w:rsidR="008560A3">
        <w:rPr>
          <w:rFonts w:ascii="Times New Roman" w:hAnsi="Times New Roman" w:cs="Times New Roman"/>
          <w:sz w:val="24"/>
          <w:szCs w:val="24"/>
        </w:rPr>
        <w:t>defendants</w:t>
      </w:r>
      <w:proofErr w:type="gramEnd"/>
      <w:r w:rsidR="008560A3">
        <w:rPr>
          <w:rFonts w:ascii="Times New Roman" w:hAnsi="Times New Roman" w:cs="Times New Roman"/>
          <w:sz w:val="24"/>
          <w:szCs w:val="24"/>
        </w:rPr>
        <w:t xml:space="preserve"> use of a name similar to their own was actionable passing-off, and they sought an </w:t>
      </w:r>
      <w:proofErr w:type="spellStart"/>
      <w:r w:rsidR="008560A3">
        <w:rPr>
          <w:rFonts w:ascii="Times New Roman" w:hAnsi="Times New Roman" w:cs="Times New Roman"/>
          <w:sz w:val="24"/>
          <w:szCs w:val="24"/>
        </w:rPr>
        <w:t>injuction</w:t>
      </w:r>
      <w:proofErr w:type="spellEnd"/>
      <w:r w:rsidR="008560A3">
        <w:rPr>
          <w:rFonts w:ascii="Times New Roman" w:hAnsi="Times New Roman" w:cs="Times New Roman"/>
          <w:sz w:val="24"/>
          <w:szCs w:val="24"/>
        </w:rPr>
        <w:t xml:space="preserve"> to restrain its further use. The court granted the </w:t>
      </w:r>
      <w:proofErr w:type="spellStart"/>
      <w:r w:rsidR="008560A3">
        <w:rPr>
          <w:rFonts w:ascii="Times New Roman" w:hAnsi="Times New Roman" w:cs="Times New Roman"/>
          <w:sz w:val="24"/>
          <w:szCs w:val="24"/>
        </w:rPr>
        <w:t>injuction</w:t>
      </w:r>
      <w:proofErr w:type="spellEnd"/>
      <w:r w:rsidR="008560A3">
        <w:rPr>
          <w:rFonts w:ascii="Times New Roman" w:hAnsi="Times New Roman" w:cs="Times New Roman"/>
          <w:sz w:val="24"/>
          <w:szCs w:val="24"/>
        </w:rPr>
        <w:t>, holding that the use of the name ‘Nigeria Chemists’ was calculated to deceive persons who know of and intend to deal with Niger Chemists.</w:t>
      </w:r>
    </w:p>
    <w:p w:rsidR="007E1355" w:rsidRDefault="007E1355" w:rsidP="007E135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GOODS UNDER A TRADE NAME ALREADY APPROPRIATED FOR GOODS OF THAT KIND BY THE PLAINTIFF, OR UNDER A NAME SO SIMILAR TO THE PLAINTIFFS TRADE NAME AS TO BE MISTAKEN FOR IT</w:t>
      </w:r>
    </w:p>
    <w:p w:rsidR="007E1355" w:rsidRDefault="007E1355" w:rsidP="007E13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 trade name is one under which goods are sold or made by a certain person and which by established usage has become known to the public as indicating that those </w:t>
      </w:r>
      <w:proofErr w:type="spellStart"/>
      <w:r>
        <w:rPr>
          <w:rFonts w:ascii="Times New Roman" w:hAnsi="Times New Roman" w:cs="Times New Roman"/>
          <w:sz w:val="24"/>
          <w:szCs w:val="24"/>
        </w:rPr>
        <w:t>goodsare</w:t>
      </w:r>
      <w:proofErr w:type="spellEnd"/>
      <w:r>
        <w:rPr>
          <w:rFonts w:ascii="Times New Roman" w:hAnsi="Times New Roman" w:cs="Times New Roman"/>
          <w:sz w:val="24"/>
          <w:szCs w:val="24"/>
        </w:rPr>
        <w:t xml:space="preserve"> the goods of that person.</w:t>
      </w:r>
      <w:r>
        <w:rPr>
          <w:rStyle w:val="FootnoteReference"/>
          <w:rFonts w:ascii="Times New Roman" w:hAnsi="Times New Roman" w:cs="Times New Roman"/>
          <w:sz w:val="24"/>
          <w:szCs w:val="24"/>
        </w:rPr>
        <w:footnoteReference w:id="6"/>
      </w:r>
    </w:p>
    <w:p w:rsidR="007E1355" w:rsidRDefault="007E1355" w:rsidP="007E13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Purely descriptive names, that is to say names which indicate merely the nature of the goods sold and not that they are the merchandise of any particular person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‘stout’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‘vacuum cleaner’</w:t>
      </w:r>
      <w:r>
        <w:rPr>
          <w:rStyle w:val="FootnoteReference"/>
          <w:rFonts w:ascii="Times New Roman" w:hAnsi="Times New Roman" w:cs="Times New Roman"/>
          <w:sz w:val="24"/>
          <w:szCs w:val="24"/>
        </w:rPr>
        <w:footnoteReference w:id="8"/>
      </w:r>
      <w:r w:rsidR="00C63213">
        <w:rPr>
          <w:rFonts w:ascii="Times New Roman" w:hAnsi="Times New Roman" w:cs="Times New Roman"/>
          <w:sz w:val="24"/>
          <w:szCs w:val="24"/>
        </w:rPr>
        <w:t xml:space="preserve"> are not protected unless the plaintiff can </w:t>
      </w:r>
      <w:proofErr w:type="gramStart"/>
      <w:r w:rsidR="00C63213">
        <w:rPr>
          <w:rFonts w:ascii="Times New Roman" w:hAnsi="Times New Roman" w:cs="Times New Roman"/>
          <w:sz w:val="24"/>
          <w:szCs w:val="24"/>
        </w:rPr>
        <w:t>prove(</w:t>
      </w:r>
      <w:proofErr w:type="gramEnd"/>
      <w:r w:rsidR="00C63213">
        <w:rPr>
          <w:rFonts w:ascii="Times New Roman" w:hAnsi="Times New Roman" w:cs="Times New Roman"/>
          <w:sz w:val="24"/>
          <w:szCs w:val="24"/>
        </w:rPr>
        <w:t xml:space="preserve"> and the burden of </w:t>
      </w:r>
      <w:proofErr w:type="spellStart"/>
      <w:r w:rsidR="00C63213">
        <w:rPr>
          <w:rFonts w:ascii="Times New Roman" w:hAnsi="Times New Roman" w:cs="Times New Roman"/>
          <w:sz w:val="24"/>
          <w:szCs w:val="24"/>
        </w:rPr>
        <w:t>proff</w:t>
      </w:r>
      <w:proofErr w:type="spellEnd"/>
      <w:r w:rsidR="00C63213">
        <w:rPr>
          <w:rFonts w:ascii="Times New Roman" w:hAnsi="Times New Roman" w:cs="Times New Roman"/>
          <w:sz w:val="24"/>
          <w:szCs w:val="24"/>
        </w:rPr>
        <w:t xml:space="preserve"> is a heavy one- that the descriptive name in question has acquired a secondary meaning so exclusively associated with the plaintiff’s own product that its use by the defendant is calculated to deceive purchasers</w:t>
      </w:r>
      <w:r w:rsidR="00C63213">
        <w:rPr>
          <w:rStyle w:val="FootnoteReference"/>
          <w:rFonts w:ascii="Times New Roman" w:hAnsi="Times New Roman" w:cs="Times New Roman"/>
          <w:sz w:val="24"/>
          <w:szCs w:val="24"/>
        </w:rPr>
        <w:footnoteReference w:id="9"/>
      </w:r>
      <w:r w:rsidR="00C63213">
        <w:rPr>
          <w:rFonts w:ascii="Times New Roman" w:hAnsi="Times New Roman" w:cs="Times New Roman"/>
          <w:sz w:val="24"/>
          <w:szCs w:val="24"/>
        </w:rPr>
        <w:t>.</w:t>
      </w:r>
    </w:p>
    <w:p w:rsidR="00C63213" w:rsidRDefault="00C63213" w:rsidP="007E135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protection of trade names applies not only to traders and manufacturers but also to any artist, writer or musician who gets to be known under a particular name which becomes inevitably part of his own stock in trade </w:t>
      </w:r>
      <w:r>
        <w:rPr>
          <w:rStyle w:val="FootnoteReference"/>
          <w:rFonts w:ascii="Times New Roman" w:hAnsi="Times New Roman" w:cs="Times New Roman"/>
          <w:sz w:val="24"/>
          <w:szCs w:val="24"/>
        </w:rPr>
        <w:footnoteReference w:id="10"/>
      </w:r>
    </w:p>
    <w:p w:rsidR="007611BE" w:rsidRDefault="007611BE" w:rsidP="007611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MARKETING GOODS WITH THE TRADE MARK OF THE PLAINTIFF OR WITH ANY DECPTIVE IMITATION OF SUCH MARK.</w:t>
      </w:r>
    </w:p>
    <w:p w:rsidR="007611BE" w:rsidRDefault="007611BE" w:rsidP="007611B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trade mark is any design, picture, mark or other arrangement affixed to goods which identifies those goods with the plaintiff manufacturer or seller. Trademarks receive protection not only under the law of passing off but also, if registered, under the trademarks act 1965, under which most actions are brought. Where there is </w:t>
      </w:r>
      <w:proofErr w:type="spellStart"/>
      <w:r>
        <w:rPr>
          <w:rFonts w:ascii="Times New Roman" w:hAnsi="Times New Roman" w:cs="Times New Roman"/>
          <w:sz w:val="24"/>
          <w:szCs w:val="24"/>
        </w:rPr>
        <w:t>anythimg</w:t>
      </w:r>
      <w:proofErr w:type="spellEnd"/>
      <w:r>
        <w:rPr>
          <w:rFonts w:ascii="Times New Roman" w:hAnsi="Times New Roman" w:cs="Times New Roman"/>
          <w:sz w:val="24"/>
          <w:szCs w:val="24"/>
        </w:rPr>
        <w:t xml:space="preserve"> in the appearance of the plaintiff’s goods which particularly identifies those goods as the merchandise of the plaintiff, the defendant will be liable for passing off if, in marketing his goods, he imitates or copies such </w:t>
      </w:r>
      <w:proofErr w:type="spellStart"/>
      <w:r>
        <w:rPr>
          <w:rFonts w:ascii="Times New Roman" w:hAnsi="Times New Roman" w:cs="Times New Roman"/>
          <w:sz w:val="24"/>
          <w:szCs w:val="24"/>
        </w:rPr>
        <w:t>appreance</w:t>
      </w:r>
      <w:proofErr w:type="spellEnd"/>
      <w:r>
        <w:rPr>
          <w:rFonts w:ascii="Times New Roman" w:hAnsi="Times New Roman" w:cs="Times New Roman"/>
          <w:sz w:val="24"/>
          <w:szCs w:val="24"/>
        </w:rPr>
        <w:t xml:space="preserve"> or get up in a manner likely to confuse the public. An early Nigerian example is U.K Tobacco Co Ltd v Carreras ltd.  More recently, in De Facto Works ltd v </w:t>
      </w:r>
      <w:proofErr w:type="spellStart"/>
      <w:r>
        <w:rPr>
          <w:rFonts w:ascii="Times New Roman" w:hAnsi="Times New Roman" w:cs="Times New Roman"/>
          <w:sz w:val="24"/>
          <w:szCs w:val="24"/>
        </w:rPr>
        <w:t>Odumotun</w:t>
      </w:r>
      <w:proofErr w:type="spellEnd"/>
      <w:r>
        <w:rPr>
          <w:rFonts w:ascii="Times New Roman" w:hAnsi="Times New Roman" w:cs="Times New Roman"/>
          <w:sz w:val="24"/>
          <w:szCs w:val="24"/>
        </w:rPr>
        <w:t xml:space="preserve"> Trading Co. Ltd</w:t>
      </w:r>
      <w:r w:rsidR="00964D13">
        <w:rPr>
          <w:rStyle w:val="FootnoteReference"/>
          <w:rFonts w:ascii="Times New Roman" w:hAnsi="Times New Roman" w:cs="Times New Roman"/>
          <w:sz w:val="24"/>
          <w:szCs w:val="24"/>
        </w:rPr>
        <w:footnoteReference w:id="11"/>
      </w:r>
      <w:r w:rsidR="00964D13">
        <w:rPr>
          <w:rFonts w:ascii="Times New Roman" w:hAnsi="Times New Roman" w:cs="Times New Roman"/>
          <w:sz w:val="24"/>
          <w:szCs w:val="24"/>
        </w:rPr>
        <w:t xml:space="preserve"> where the defendants were held liable in passing off where they sold bread wrapped in yellow and brown paper.</w:t>
      </w:r>
    </w:p>
    <w:p w:rsidR="00964D13" w:rsidRDefault="00716949" w:rsidP="00964D1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IMITATING THE GET-UP OR APPEARANCE OF THE PLAINTIFF’S GOODS.</w:t>
      </w:r>
    </w:p>
    <w:p w:rsidR="00716949" w:rsidRDefault="00716949" w:rsidP="0071694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Where there is anything in the appearance or ‘get-up’ of the plaintiff’s goods which particularly identifies those goods </w:t>
      </w:r>
      <w:r w:rsidR="003343BE">
        <w:rPr>
          <w:rFonts w:ascii="Times New Roman" w:hAnsi="Times New Roman" w:cs="Times New Roman"/>
          <w:sz w:val="24"/>
          <w:szCs w:val="24"/>
        </w:rPr>
        <w:t xml:space="preserve">as the merchandise of the plaintiff, the defendant will be liable for passing off if, in marketing his goods, he imitates or copies such appearance in a manner likely to confuse the public. An early Nigerian example is </w:t>
      </w:r>
      <w:proofErr w:type="spellStart"/>
      <w:proofErr w:type="gramStart"/>
      <w:r w:rsidR="003343BE">
        <w:rPr>
          <w:rFonts w:ascii="Times New Roman" w:hAnsi="Times New Roman" w:cs="Times New Roman"/>
          <w:sz w:val="24"/>
          <w:szCs w:val="24"/>
        </w:rPr>
        <w:t>Uk</w:t>
      </w:r>
      <w:proofErr w:type="spellEnd"/>
      <w:proofErr w:type="gramEnd"/>
      <w:r w:rsidR="003343BE">
        <w:rPr>
          <w:rFonts w:ascii="Times New Roman" w:hAnsi="Times New Roman" w:cs="Times New Roman"/>
          <w:sz w:val="24"/>
          <w:szCs w:val="24"/>
        </w:rPr>
        <w:t xml:space="preserve"> Tobacco Co. Ltd v. Carreras Ltd.</w:t>
      </w:r>
      <w:r w:rsidR="003343BE">
        <w:rPr>
          <w:rStyle w:val="FootnoteReference"/>
          <w:rFonts w:ascii="Times New Roman" w:hAnsi="Times New Roman" w:cs="Times New Roman"/>
          <w:sz w:val="24"/>
          <w:szCs w:val="24"/>
        </w:rPr>
        <w:footnoteReference w:id="12"/>
      </w:r>
      <w:r w:rsidR="003343BE">
        <w:rPr>
          <w:rFonts w:ascii="Times New Roman" w:hAnsi="Times New Roman" w:cs="Times New Roman"/>
          <w:sz w:val="24"/>
          <w:szCs w:val="24"/>
        </w:rPr>
        <w:t xml:space="preserve"> </w:t>
      </w:r>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b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t xml:space="preserve">Unfortunately, Passing off is not a criminal offence, such that Mrs. </w:t>
      </w:r>
      <w:proofErr w:type="spellStart"/>
      <w:r w:rsidRPr="00964D13">
        <w:rPr>
          <w:rFonts w:ascii="Times New Roman" w:hAnsi="Times New Roman" w:cs="Times New Roman"/>
          <w:sz w:val="24"/>
          <w:szCs w:val="24"/>
        </w:rPr>
        <w:t>Ramota</w:t>
      </w:r>
      <w:proofErr w:type="spellEnd"/>
      <w:r w:rsidRPr="00964D13">
        <w:rPr>
          <w:rFonts w:ascii="Times New Roman" w:hAnsi="Times New Roman" w:cs="Times New Roman"/>
          <w:sz w:val="24"/>
          <w:szCs w:val="24"/>
        </w:rPr>
        <w:t xml:space="preserve"> above could make a report to the Police or relevant institution. However, any victim of Passing off may first make a report to the person/company manufacturing the product one intended to purchase to make them aware that another person/company is reproducing a similar product and passing it off as theirs. Mrs. </w:t>
      </w:r>
      <w:proofErr w:type="spellStart"/>
      <w:r w:rsidRPr="00964D13">
        <w:rPr>
          <w:rFonts w:ascii="Times New Roman" w:hAnsi="Times New Roman" w:cs="Times New Roman"/>
          <w:sz w:val="24"/>
          <w:szCs w:val="24"/>
        </w:rPr>
        <w:t>Ramota</w:t>
      </w:r>
      <w:proofErr w:type="spellEnd"/>
      <w:r w:rsidRPr="00964D13">
        <w:rPr>
          <w:rFonts w:ascii="Times New Roman" w:hAnsi="Times New Roman" w:cs="Times New Roman"/>
          <w:sz w:val="24"/>
          <w:szCs w:val="24"/>
        </w:rPr>
        <w:t xml:space="preserve"> may also go further to report the </w:t>
      </w:r>
      <w:r w:rsidRPr="00964D13">
        <w:rPr>
          <w:rFonts w:ascii="Times New Roman" w:hAnsi="Times New Roman" w:cs="Times New Roman"/>
          <w:sz w:val="24"/>
          <w:szCs w:val="24"/>
        </w:rPr>
        <w:lastRenderedPageBreak/>
        <w:t>misrepresentation by the manufacturers of '</w:t>
      </w:r>
      <w:proofErr w:type="spellStart"/>
      <w:r w:rsidRPr="00964D13">
        <w:rPr>
          <w:rFonts w:ascii="Times New Roman" w:hAnsi="Times New Roman" w:cs="Times New Roman"/>
          <w:sz w:val="24"/>
          <w:szCs w:val="24"/>
        </w:rPr>
        <w:t>Tunio</w:t>
      </w:r>
      <w:proofErr w:type="spellEnd"/>
      <w:r w:rsidRPr="00964D13">
        <w:rPr>
          <w:rFonts w:ascii="Times New Roman" w:hAnsi="Times New Roman" w:cs="Times New Roman"/>
          <w:sz w:val="24"/>
          <w:szCs w:val="24"/>
        </w:rPr>
        <w:t xml:space="preserve">' seasoning powder to the Consumer Protection Council ("CPC") and seek compensation as a </w:t>
      </w:r>
      <w:proofErr w:type="gramStart"/>
      <w:r w:rsidRPr="00964D13">
        <w:rPr>
          <w:rFonts w:ascii="Times New Roman" w:hAnsi="Times New Roman" w:cs="Times New Roman"/>
          <w:sz w:val="24"/>
          <w:szCs w:val="24"/>
        </w:rPr>
        <w:t>dissatisfied</w:t>
      </w:r>
      <w:proofErr w:type="gramEnd"/>
      <w:r w:rsidRPr="00964D13">
        <w:rPr>
          <w:rFonts w:ascii="Times New Roman" w:hAnsi="Times New Roman" w:cs="Times New Roman"/>
          <w:sz w:val="24"/>
          <w:szCs w:val="24"/>
        </w:rPr>
        <w:t xml:space="preserve"> consumer.</w:t>
      </w:r>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t xml:space="preserve">Though she may not have the locus </w:t>
      </w:r>
      <w:proofErr w:type="spellStart"/>
      <w:r w:rsidRPr="00964D13">
        <w:rPr>
          <w:rFonts w:ascii="Times New Roman" w:hAnsi="Times New Roman" w:cs="Times New Roman"/>
          <w:sz w:val="24"/>
          <w:szCs w:val="24"/>
        </w:rPr>
        <w:t>standi</w:t>
      </w:r>
      <w:proofErr w:type="spellEnd"/>
      <w:r w:rsidRPr="00964D13">
        <w:rPr>
          <w:rFonts w:ascii="Times New Roman" w:hAnsi="Times New Roman" w:cs="Times New Roman"/>
          <w:sz w:val="24"/>
          <w:szCs w:val="24"/>
        </w:rPr>
        <w:t xml:space="preserve"> to pursue a civil suit in this regard, the CPC will be happy to investigate the subject matter. </w:t>
      </w:r>
      <w:proofErr w:type="gramStart"/>
      <w:r w:rsidRPr="00964D13">
        <w:rPr>
          <w:rFonts w:ascii="Times New Roman" w:hAnsi="Times New Roman" w:cs="Times New Roman"/>
          <w:sz w:val="24"/>
          <w:szCs w:val="24"/>
        </w:rPr>
        <w:t>The main objective of this being to increase the awareness of Passing off towards the association of Passing off to bad business.</w:t>
      </w:r>
      <w:proofErr w:type="gramEnd"/>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t>Furthermore, small and medium businesses should be enlightened and educated to explore the possibility of seeking legal actions on Passing off and take advantage of the remedies available to protect their goodwill, trade name and profits.</w:t>
      </w:r>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t>The Supreme Court should also resolve with one voice the jurisdiction of the Federal High Court in line with the Constitution to prevent unnecessary objections and delay of justice at court.</w:t>
      </w:r>
    </w:p>
    <w:p w:rsidR="00964D13" w:rsidRPr="00964D13" w:rsidRDefault="00964D13" w:rsidP="00964D13">
      <w:pPr>
        <w:pStyle w:val="ListParagraph"/>
        <w:spacing w:line="360" w:lineRule="auto"/>
        <w:rPr>
          <w:rFonts w:ascii="Times New Roman" w:hAnsi="Times New Roman" w:cs="Times New Roman"/>
          <w:sz w:val="24"/>
          <w:szCs w:val="24"/>
        </w:rPr>
      </w:pPr>
      <w:r w:rsidRPr="00964D13">
        <w:rPr>
          <w:rFonts w:ascii="Times New Roman" w:hAnsi="Times New Roman" w:cs="Times New Roman"/>
          <w:sz w:val="24"/>
          <w:szCs w:val="24"/>
        </w:rPr>
        <w:t>It is also suggested that the Trademarks Act be further amended to reflect the times, happenings and changes in the Nigeria. In particular, we have observed that the Trademarks Registry has witnessed a serious backlog in the successful completion of the registration of marks and this has the resultant effect of limiting the rights of most product owners to Passing off as opposed to the an action on the infringement of a trademark.</w:t>
      </w:r>
    </w:p>
    <w:p w:rsidR="00964D13" w:rsidRDefault="003343BE" w:rsidP="00964D13">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BIBLIOGRAPHY</w:t>
      </w:r>
    </w:p>
    <w:p w:rsidR="003343BE" w:rsidRDefault="003343BE" w:rsidP="003343BE">
      <w:pPr>
        <w:pStyle w:val="ListParagraph"/>
        <w:numPr>
          <w:ilvl w:val="0"/>
          <w:numId w:val="2"/>
        </w:numPr>
        <w:spacing w:line="360" w:lineRule="auto"/>
        <w:rPr>
          <w:rFonts w:ascii="Times New Roman" w:hAnsi="Times New Roman" w:cs="Times New Roman"/>
          <w:sz w:val="24"/>
          <w:szCs w:val="24"/>
        </w:rPr>
      </w:pPr>
      <w:hyperlink r:id="rId9" w:history="1">
        <w:r w:rsidRPr="00112E26">
          <w:rPr>
            <w:rStyle w:val="Hyperlink"/>
            <w:rFonts w:ascii="Times New Roman" w:hAnsi="Times New Roman" w:cs="Times New Roman"/>
            <w:sz w:val="24"/>
            <w:szCs w:val="24"/>
          </w:rPr>
          <w:t>https://www.mondaq.com/Nigeria/Intellectual-Property/704160/An-Appraisal-Of-Passing-Off-Actions-Under-Nigerian-Law</w:t>
        </w:r>
      </w:hyperlink>
    </w:p>
    <w:p w:rsidR="003343BE" w:rsidRDefault="003343BE" w:rsidP="003343B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Law of torts by </w:t>
      </w:r>
      <w:proofErr w:type="spellStart"/>
      <w:r>
        <w:rPr>
          <w:rFonts w:ascii="Times New Roman" w:hAnsi="Times New Roman" w:cs="Times New Roman"/>
          <w:sz w:val="24"/>
          <w:szCs w:val="24"/>
        </w:rPr>
        <w:t>kehinde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2004 5</w:t>
      </w:r>
      <w:r w:rsidRPr="003343B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editon</w:t>
      </w:r>
      <w:proofErr w:type="spellEnd"/>
    </w:p>
    <w:p w:rsidR="003343BE" w:rsidRPr="00964D13" w:rsidRDefault="003343BE" w:rsidP="003343BE">
      <w:pPr>
        <w:pStyle w:val="ListParagraph"/>
        <w:numPr>
          <w:ilvl w:val="0"/>
          <w:numId w:val="2"/>
        </w:numPr>
        <w:spacing w:line="360" w:lineRule="auto"/>
        <w:rPr>
          <w:rFonts w:ascii="Times New Roman" w:hAnsi="Times New Roman" w:cs="Times New Roman"/>
          <w:sz w:val="24"/>
          <w:szCs w:val="24"/>
        </w:rPr>
      </w:pPr>
      <w:r w:rsidRPr="003343BE">
        <w:rPr>
          <w:rFonts w:ascii="Times New Roman" w:hAnsi="Times New Roman" w:cs="Times New Roman"/>
          <w:sz w:val="24"/>
          <w:szCs w:val="24"/>
        </w:rPr>
        <w:t>https://www.clarkewillmott.com/legal-services/intellectual-property-lawyers/passing-off/</w:t>
      </w:r>
    </w:p>
    <w:p w:rsidR="00964D13" w:rsidRPr="00CD3F19" w:rsidRDefault="00964D13" w:rsidP="007611BE">
      <w:pPr>
        <w:pStyle w:val="ListParagraph"/>
        <w:spacing w:line="360" w:lineRule="auto"/>
        <w:rPr>
          <w:rFonts w:ascii="Times New Roman" w:hAnsi="Times New Roman" w:cs="Times New Roman"/>
          <w:sz w:val="24"/>
          <w:szCs w:val="24"/>
        </w:rPr>
      </w:pPr>
    </w:p>
    <w:sectPr w:rsidR="00964D13" w:rsidRPr="00CD3F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7F" w:rsidRDefault="00220D7F" w:rsidP="00C356C4">
      <w:pPr>
        <w:spacing w:after="0" w:line="240" w:lineRule="auto"/>
      </w:pPr>
      <w:r>
        <w:separator/>
      </w:r>
    </w:p>
  </w:endnote>
  <w:endnote w:type="continuationSeparator" w:id="0">
    <w:p w:rsidR="00220D7F" w:rsidRDefault="00220D7F" w:rsidP="00C3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7F" w:rsidRDefault="00220D7F" w:rsidP="00C356C4">
      <w:pPr>
        <w:spacing w:after="0" w:line="240" w:lineRule="auto"/>
      </w:pPr>
      <w:r>
        <w:separator/>
      </w:r>
    </w:p>
  </w:footnote>
  <w:footnote w:type="continuationSeparator" w:id="0">
    <w:p w:rsidR="00220D7F" w:rsidRDefault="00220D7F" w:rsidP="00C356C4">
      <w:pPr>
        <w:spacing w:after="0" w:line="240" w:lineRule="auto"/>
      </w:pPr>
      <w:r>
        <w:continuationSeparator/>
      </w:r>
    </w:p>
  </w:footnote>
  <w:footnote w:id="1">
    <w:p w:rsidR="00C356C4" w:rsidRDefault="00C356C4">
      <w:pPr>
        <w:pStyle w:val="FootnoteText"/>
      </w:pPr>
      <w:r>
        <w:rPr>
          <w:rStyle w:val="FootnoteReference"/>
        </w:rPr>
        <w:footnoteRef/>
      </w:r>
      <w:r>
        <w:t xml:space="preserve"> </w:t>
      </w:r>
      <w:proofErr w:type="spellStart"/>
      <w:r>
        <w:t>Salomond</w:t>
      </w:r>
      <w:proofErr w:type="spellEnd"/>
      <w:r>
        <w:t xml:space="preserve"> op cit. </w:t>
      </w:r>
      <w:proofErr w:type="spellStart"/>
      <w:r>
        <w:t>para</w:t>
      </w:r>
      <w:proofErr w:type="spellEnd"/>
      <w:r>
        <w:t xml:space="preserve"> 149</w:t>
      </w:r>
    </w:p>
  </w:footnote>
  <w:footnote w:id="2">
    <w:p w:rsidR="00CF5DFB" w:rsidRDefault="00C356C4">
      <w:pPr>
        <w:pStyle w:val="FootnoteText"/>
      </w:pPr>
      <w:r>
        <w:rPr>
          <w:rStyle w:val="FootnoteReference"/>
        </w:rPr>
        <w:footnoteRef/>
      </w:r>
      <w:r>
        <w:t xml:space="preserve"> Leather cloth co v American leather cloth co. (1865) 11 H.L </w:t>
      </w:r>
      <w:proofErr w:type="spellStart"/>
      <w:r>
        <w:t>Cas</w:t>
      </w:r>
      <w:proofErr w:type="spellEnd"/>
      <w:r>
        <w:t xml:space="preserve"> 523 at p</w:t>
      </w:r>
      <w:r w:rsidR="00CF5DFB">
        <w:t>.538;</w:t>
      </w:r>
    </w:p>
    <w:p w:rsidR="00C356C4" w:rsidRDefault="00CF5DFB">
      <w:pPr>
        <w:pStyle w:val="FootnoteText"/>
      </w:pPr>
      <w:r>
        <w:t xml:space="preserve"> De Facto Works Ltd v </w:t>
      </w:r>
      <w:proofErr w:type="spellStart"/>
      <w:r>
        <w:t>Odomotun</w:t>
      </w:r>
      <w:proofErr w:type="spellEnd"/>
      <w:r>
        <w:t xml:space="preserve"> Trading Co.{1959} L.LR 33 at p.63</w:t>
      </w:r>
    </w:p>
  </w:footnote>
  <w:footnote w:id="3">
    <w:p w:rsidR="00654A5D" w:rsidRDefault="00654A5D">
      <w:pPr>
        <w:pStyle w:val="FootnoteText"/>
      </w:pPr>
      <w:r>
        <w:rPr>
          <w:rStyle w:val="FootnoteReference"/>
        </w:rPr>
        <w:footnoteRef/>
      </w:r>
      <w:r>
        <w:t xml:space="preserve"> </w:t>
      </w:r>
      <w:proofErr w:type="gramStart"/>
      <w:r>
        <w:t>Byron v Johnson (1816) 35 E.R 851.</w:t>
      </w:r>
      <w:proofErr w:type="gramEnd"/>
    </w:p>
  </w:footnote>
  <w:footnote w:id="4">
    <w:p w:rsidR="00EE4688" w:rsidRDefault="00EE4688">
      <w:pPr>
        <w:pStyle w:val="FootnoteText"/>
      </w:pPr>
      <w:r>
        <w:rPr>
          <w:rStyle w:val="FootnoteReference"/>
        </w:rPr>
        <w:footnoteRef/>
      </w:r>
      <w:r>
        <w:t xml:space="preserve"> (1881) 50 L.J Ch. 456</w:t>
      </w:r>
    </w:p>
  </w:footnote>
  <w:footnote w:id="5">
    <w:p w:rsidR="00207E3E" w:rsidRDefault="00207E3E">
      <w:pPr>
        <w:pStyle w:val="FootnoteText"/>
      </w:pPr>
      <w:r>
        <w:rPr>
          <w:rStyle w:val="FootnoteReference"/>
        </w:rPr>
        <w:footnoteRef/>
      </w:r>
      <w:r>
        <w:t xml:space="preserve"> {1961} All N.LR 171</w:t>
      </w:r>
    </w:p>
  </w:footnote>
  <w:footnote w:id="6">
    <w:p w:rsidR="007E1355" w:rsidRDefault="007E1355">
      <w:pPr>
        <w:pStyle w:val="FootnoteText"/>
      </w:pPr>
      <w:r>
        <w:rPr>
          <w:rStyle w:val="FootnoteReference"/>
        </w:rPr>
        <w:footnoteRef/>
      </w:r>
      <w:r>
        <w:t xml:space="preserve"> </w:t>
      </w:r>
      <w:proofErr w:type="spellStart"/>
      <w:r>
        <w:t>Salmond</w:t>
      </w:r>
      <w:proofErr w:type="spellEnd"/>
      <w:r>
        <w:t>, op. cit. p. 401</w:t>
      </w:r>
    </w:p>
  </w:footnote>
  <w:footnote w:id="7">
    <w:p w:rsidR="007E1355" w:rsidRDefault="007E1355">
      <w:pPr>
        <w:pStyle w:val="FootnoteText"/>
      </w:pPr>
      <w:r>
        <w:rPr>
          <w:rStyle w:val="FootnoteReference"/>
        </w:rPr>
        <w:footnoteRef/>
      </w:r>
      <w:r>
        <w:t xml:space="preserve"> </w:t>
      </w:r>
      <w:proofErr w:type="spellStart"/>
      <w:r>
        <w:t>Ragget</w:t>
      </w:r>
      <w:proofErr w:type="spellEnd"/>
      <w:r>
        <w:t xml:space="preserve"> v </w:t>
      </w:r>
      <w:proofErr w:type="spellStart"/>
      <w:r>
        <w:t>Findlater</w:t>
      </w:r>
      <w:proofErr w:type="spellEnd"/>
    </w:p>
  </w:footnote>
  <w:footnote w:id="8">
    <w:p w:rsidR="007E1355" w:rsidRDefault="007E1355">
      <w:pPr>
        <w:pStyle w:val="FootnoteText"/>
      </w:pPr>
      <w:r>
        <w:rPr>
          <w:rStyle w:val="FootnoteReference"/>
        </w:rPr>
        <w:footnoteRef/>
      </w:r>
      <w:r>
        <w:t xml:space="preserve"> British Vacuum Cleaner Co Ltd v New Vacuum Cleaner Co. Ltd (1907)</w:t>
      </w:r>
      <w:r w:rsidR="00C63213">
        <w:t xml:space="preserve"> 2 </w:t>
      </w:r>
      <w:proofErr w:type="spellStart"/>
      <w:r w:rsidR="00C63213">
        <w:t>Ch</w:t>
      </w:r>
      <w:proofErr w:type="spellEnd"/>
      <w:r w:rsidR="00C63213">
        <w:t xml:space="preserve"> 312</w:t>
      </w:r>
    </w:p>
  </w:footnote>
  <w:footnote w:id="9">
    <w:p w:rsidR="00C63213" w:rsidRDefault="00C63213">
      <w:pPr>
        <w:pStyle w:val="FootnoteText"/>
      </w:pPr>
      <w:r>
        <w:rPr>
          <w:rStyle w:val="FootnoteReference"/>
        </w:rPr>
        <w:footnoteRef/>
      </w:r>
      <w:r>
        <w:t xml:space="preserve"> See </w:t>
      </w:r>
      <w:proofErr w:type="spellStart"/>
      <w:r>
        <w:t>Reddaway</w:t>
      </w:r>
      <w:proofErr w:type="spellEnd"/>
      <w:r>
        <w:t xml:space="preserve"> v </w:t>
      </w:r>
      <w:proofErr w:type="spellStart"/>
      <w:r>
        <w:t>Baniam</w:t>
      </w:r>
      <w:proofErr w:type="spellEnd"/>
      <w:r>
        <w:t xml:space="preserve"> (1896) A.C 199</w:t>
      </w:r>
    </w:p>
  </w:footnote>
  <w:footnote w:id="10">
    <w:p w:rsidR="00C63213" w:rsidRDefault="00C63213">
      <w:pPr>
        <w:pStyle w:val="FootnoteText"/>
      </w:pPr>
      <w:r>
        <w:rPr>
          <w:rStyle w:val="FootnoteReference"/>
        </w:rPr>
        <w:footnoteRef/>
      </w:r>
      <w:r>
        <w:t xml:space="preserve"> Hines v </w:t>
      </w:r>
      <w:proofErr w:type="spellStart"/>
      <w:r>
        <w:t>Winnick</w:t>
      </w:r>
      <w:proofErr w:type="spellEnd"/>
      <w:r>
        <w:t xml:space="preserve"> (1947) </w:t>
      </w:r>
      <w:proofErr w:type="spellStart"/>
      <w:r>
        <w:t>Ch</w:t>
      </w:r>
      <w:proofErr w:type="spellEnd"/>
      <w:r>
        <w:t xml:space="preserve"> 708 at p. 713</w:t>
      </w:r>
    </w:p>
  </w:footnote>
  <w:footnote w:id="11">
    <w:p w:rsidR="00964D13" w:rsidRDefault="00964D13">
      <w:pPr>
        <w:pStyle w:val="FootnoteText"/>
      </w:pPr>
      <w:r>
        <w:rPr>
          <w:rStyle w:val="FootnoteReference"/>
        </w:rPr>
        <w:footnoteRef/>
      </w:r>
      <w:r>
        <w:t xml:space="preserve"> (1959) L.L.R&gt;33</w:t>
      </w:r>
    </w:p>
  </w:footnote>
  <w:footnote w:id="12">
    <w:p w:rsidR="003343BE" w:rsidRDefault="003343BE">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3C"/>
    <w:multiLevelType w:val="hybridMultilevel"/>
    <w:tmpl w:val="AB72E872"/>
    <w:lvl w:ilvl="0" w:tplc="9794A4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522C5"/>
    <w:multiLevelType w:val="hybridMultilevel"/>
    <w:tmpl w:val="FC340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61"/>
    <w:rsid w:val="00195EFE"/>
    <w:rsid w:val="00207E3E"/>
    <w:rsid w:val="00220D7F"/>
    <w:rsid w:val="003343BE"/>
    <w:rsid w:val="003A514D"/>
    <w:rsid w:val="005A1513"/>
    <w:rsid w:val="00654A5D"/>
    <w:rsid w:val="00687871"/>
    <w:rsid w:val="00716949"/>
    <w:rsid w:val="007611BE"/>
    <w:rsid w:val="007C2F7C"/>
    <w:rsid w:val="007E1355"/>
    <w:rsid w:val="00814B61"/>
    <w:rsid w:val="008560A3"/>
    <w:rsid w:val="008756EC"/>
    <w:rsid w:val="00964D13"/>
    <w:rsid w:val="00A72DD2"/>
    <w:rsid w:val="00C356C4"/>
    <w:rsid w:val="00C63213"/>
    <w:rsid w:val="00CC2CEC"/>
    <w:rsid w:val="00CD3F19"/>
    <w:rsid w:val="00CF5DFB"/>
    <w:rsid w:val="00DD3803"/>
    <w:rsid w:val="00EB492D"/>
    <w:rsid w:val="00EE4688"/>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C4"/>
    <w:rPr>
      <w:color w:val="0000FF" w:themeColor="hyperlink"/>
      <w:u w:val="single"/>
    </w:rPr>
  </w:style>
  <w:style w:type="paragraph" w:styleId="Header">
    <w:name w:val="header"/>
    <w:basedOn w:val="Normal"/>
    <w:link w:val="HeaderChar"/>
    <w:uiPriority w:val="99"/>
    <w:unhideWhenUsed/>
    <w:rsid w:val="00C3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C4"/>
  </w:style>
  <w:style w:type="paragraph" w:styleId="Footer">
    <w:name w:val="footer"/>
    <w:basedOn w:val="Normal"/>
    <w:link w:val="FooterChar"/>
    <w:uiPriority w:val="99"/>
    <w:unhideWhenUsed/>
    <w:rsid w:val="00C3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C4"/>
  </w:style>
  <w:style w:type="paragraph" w:styleId="BalloonText">
    <w:name w:val="Balloon Text"/>
    <w:basedOn w:val="Normal"/>
    <w:link w:val="BalloonTextChar"/>
    <w:uiPriority w:val="99"/>
    <w:semiHidden/>
    <w:unhideWhenUsed/>
    <w:rsid w:val="00C3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C4"/>
    <w:rPr>
      <w:rFonts w:ascii="Tahoma" w:hAnsi="Tahoma" w:cs="Tahoma"/>
      <w:sz w:val="16"/>
      <w:szCs w:val="16"/>
    </w:rPr>
  </w:style>
  <w:style w:type="paragraph" w:styleId="FootnoteText">
    <w:name w:val="footnote text"/>
    <w:basedOn w:val="Normal"/>
    <w:link w:val="FootnoteTextChar"/>
    <w:uiPriority w:val="99"/>
    <w:semiHidden/>
    <w:unhideWhenUsed/>
    <w:rsid w:val="00C35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6C4"/>
    <w:rPr>
      <w:sz w:val="20"/>
      <w:szCs w:val="20"/>
    </w:rPr>
  </w:style>
  <w:style w:type="character" w:styleId="FootnoteReference">
    <w:name w:val="footnote reference"/>
    <w:basedOn w:val="DefaultParagraphFont"/>
    <w:uiPriority w:val="99"/>
    <w:semiHidden/>
    <w:unhideWhenUsed/>
    <w:rsid w:val="00C356C4"/>
    <w:rPr>
      <w:vertAlign w:val="superscript"/>
    </w:rPr>
  </w:style>
  <w:style w:type="paragraph" w:styleId="ListParagraph">
    <w:name w:val="List Paragraph"/>
    <w:basedOn w:val="Normal"/>
    <w:uiPriority w:val="34"/>
    <w:qFormat/>
    <w:rsid w:val="00CD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6C4"/>
    <w:rPr>
      <w:color w:val="0000FF" w:themeColor="hyperlink"/>
      <w:u w:val="single"/>
    </w:rPr>
  </w:style>
  <w:style w:type="paragraph" w:styleId="Header">
    <w:name w:val="header"/>
    <w:basedOn w:val="Normal"/>
    <w:link w:val="HeaderChar"/>
    <w:uiPriority w:val="99"/>
    <w:unhideWhenUsed/>
    <w:rsid w:val="00C3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C4"/>
  </w:style>
  <w:style w:type="paragraph" w:styleId="Footer">
    <w:name w:val="footer"/>
    <w:basedOn w:val="Normal"/>
    <w:link w:val="FooterChar"/>
    <w:uiPriority w:val="99"/>
    <w:unhideWhenUsed/>
    <w:rsid w:val="00C3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C4"/>
  </w:style>
  <w:style w:type="paragraph" w:styleId="BalloonText">
    <w:name w:val="Balloon Text"/>
    <w:basedOn w:val="Normal"/>
    <w:link w:val="BalloonTextChar"/>
    <w:uiPriority w:val="99"/>
    <w:semiHidden/>
    <w:unhideWhenUsed/>
    <w:rsid w:val="00C3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C4"/>
    <w:rPr>
      <w:rFonts w:ascii="Tahoma" w:hAnsi="Tahoma" w:cs="Tahoma"/>
      <w:sz w:val="16"/>
      <w:szCs w:val="16"/>
    </w:rPr>
  </w:style>
  <w:style w:type="paragraph" w:styleId="FootnoteText">
    <w:name w:val="footnote text"/>
    <w:basedOn w:val="Normal"/>
    <w:link w:val="FootnoteTextChar"/>
    <w:uiPriority w:val="99"/>
    <w:semiHidden/>
    <w:unhideWhenUsed/>
    <w:rsid w:val="00C35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6C4"/>
    <w:rPr>
      <w:sz w:val="20"/>
      <w:szCs w:val="20"/>
    </w:rPr>
  </w:style>
  <w:style w:type="character" w:styleId="FootnoteReference">
    <w:name w:val="footnote reference"/>
    <w:basedOn w:val="DefaultParagraphFont"/>
    <w:uiPriority w:val="99"/>
    <w:semiHidden/>
    <w:unhideWhenUsed/>
    <w:rsid w:val="00C356C4"/>
    <w:rPr>
      <w:vertAlign w:val="superscript"/>
    </w:rPr>
  </w:style>
  <w:style w:type="paragraph" w:styleId="ListParagraph">
    <w:name w:val="List Paragraph"/>
    <w:basedOn w:val="Normal"/>
    <w:uiPriority w:val="34"/>
    <w:qFormat/>
    <w:rsid w:val="00CD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585">
      <w:bodyDiv w:val="1"/>
      <w:marLeft w:val="0"/>
      <w:marRight w:val="0"/>
      <w:marTop w:val="0"/>
      <w:marBottom w:val="0"/>
      <w:divBdr>
        <w:top w:val="none" w:sz="0" w:space="0" w:color="auto"/>
        <w:left w:val="none" w:sz="0" w:space="0" w:color="auto"/>
        <w:bottom w:val="none" w:sz="0" w:space="0" w:color="auto"/>
        <w:right w:val="none" w:sz="0" w:space="0" w:color="auto"/>
      </w:divBdr>
    </w:div>
    <w:div w:id="981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ondaq.com/Nigeria/Intellectual-Property/704160/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CCA1-B7ED-4403-B699-52EB2A22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Ogor Ngige</dc:creator>
  <cp:lastModifiedBy>Ogor Ngige</cp:lastModifiedBy>
  <cp:revision>3</cp:revision>
  <dcterms:created xsi:type="dcterms:W3CDTF">2020-05-03T17:19:00Z</dcterms:created>
  <dcterms:modified xsi:type="dcterms:W3CDTF">2020-05-07T10:33:00Z</dcterms:modified>
</cp:coreProperties>
</file>