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2B" w:rsidRPr="00406CCD" w:rsidRDefault="00406CCD">
      <w:pPr>
        <w:rPr>
          <w:rFonts w:ascii="Times New Roman" w:hAnsi="Times New Roman" w:cs="Times New Roman"/>
          <w:sz w:val="24"/>
          <w:szCs w:val="24"/>
        </w:rPr>
      </w:pPr>
      <w:r w:rsidRPr="00406CCD">
        <w:rPr>
          <w:rFonts w:ascii="Times New Roman" w:hAnsi="Times New Roman" w:cs="Times New Roman"/>
          <w:sz w:val="24"/>
          <w:szCs w:val="24"/>
        </w:rPr>
        <w:t>Name</w:t>
      </w:r>
      <w:r w:rsidR="00693D2B" w:rsidRPr="00406CCD">
        <w:rPr>
          <w:rFonts w:ascii="Times New Roman" w:hAnsi="Times New Roman" w:cs="Times New Roman"/>
          <w:sz w:val="24"/>
          <w:szCs w:val="24"/>
        </w:rPr>
        <w:t xml:space="preserve">: AHIANTE David </w:t>
      </w:r>
      <w:proofErr w:type="spellStart"/>
      <w:r w:rsidR="00693D2B" w:rsidRPr="00406CCD">
        <w:rPr>
          <w:rFonts w:ascii="Times New Roman" w:hAnsi="Times New Roman" w:cs="Times New Roman"/>
          <w:sz w:val="24"/>
          <w:szCs w:val="24"/>
        </w:rPr>
        <w:t>Ehidiame</w:t>
      </w:r>
      <w:proofErr w:type="spellEnd"/>
    </w:p>
    <w:p w:rsidR="000A1675" w:rsidRPr="00406CCD" w:rsidRDefault="00406CCD">
      <w:pPr>
        <w:rPr>
          <w:rFonts w:ascii="Times New Roman" w:hAnsi="Times New Roman" w:cs="Times New Roman"/>
          <w:sz w:val="24"/>
          <w:szCs w:val="24"/>
        </w:rPr>
      </w:pPr>
      <w:proofErr w:type="spellStart"/>
      <w:r w:rsidRPr="00406CCD">
        <w:rPr>
          <w:rFonts w:ascii="Times New Roman" w:hAnsi="Times New Roman" w:cs="Times New Roman"/>
          <w:sz w:val="24"/>
          <w:szCs w:val="24"/>
        </w:rPr>
        <w:t>Matric</w:t>
      </w:r>
      <w:proofErr w:type="spellEnd"/>
      <w:r w:rsidRPr="00406CCD">
        <w:rPr>
          <w:rFonts w:ascii="Times New Roman" w:hAnsi="Times New Roman" w:cs="Times New Roman"/>
          <w:sz w:val="24"/>
          <w:szCs w:val="24"/>
        </w:rPr>
        <w:t xml:space="preserve"> No</w:t>
      </w:r>
      <w:r w:rsidR="000A1675" w:rsidRPr="00406CCD">
        <w:rPr>
          <w:rFonts w:ascii="Times New Roman" w:hAnsi="Times New Roman" w:cs="Times New Roman"/>
          <w:sz w:val="24"/>
          <w:szCs w:val="24"/>
        </w:rPr>
        <w:t>: 16/Law01/021</w:t>
      </w:r>
    </w:p>
    <w:p w:rsidR="00406CCD" w:rsidRPr="00406CCD" w:rsidRDefault="00406CCD" w:rsidP="00406CCD">
      <w:pPr>
        <w:rPr>
          <w:rFonts w:ascii="Times New Roman" w:hAnsi="Times New Roman" w:cs="Times New Roman"/>
          <w:sz w:val="24"/>
          <w:szCs w:val="24"/>
        </w:rPr>
      </w:pPr>
      <w:r w:rsidRPr="00406CCD">
        <w:rPr>
          <w:rFonts w:ascii="Times New Roman" w:hAnsi="Times New Roman" w:cs="Times New Roman"/>
          <w:sz w:val="24"/>
          <w:szCs w:val="24"/>
        </w:rPr>
        <w:t>Assignment Title: Marriages and Conflict of Laws</w:t>
      </w:r>
    </w:p>
    <w:p w:rsidR="00406CCD" w:rsidRPr="00406CCD" w:rsidRDefault="00406CCD" w:rsidP="00406CCD">
      <w:pPr>
        <w:rPr>
          <w:rFonts w:ascii="Times New Roman" w:hAnsi="Times New Roman" w:cs="Times New Roman"/>
          <w:sz w:val="24"/>
          <w:szCs w:val="24"/>
        </w:rPr>
      </w:pPr>
      <w:r w:rsidRPr="00406CCD">
        <w:rPr>
          <w:rFonts w:ascii="Times New Roman" w:hAnsi="Times New Roman" w:cs="Times New Roman"/>
          <w:sz w:val="24"/>
          <w:szCs w:val="24"/>
        </w:rPr>
        <w:t>Course Title: Conflict of Laws II</w:t>
      </w:r>
    </w:p>
    <w:p w:rsidR="00406CCD" w:rsidRPr="00406CCD" w:rsidRDefault="00406CCD" w:rsidP="00406CCD">
      <w:pPr>
        <w:rPr>
          <w:rFonts w:ascii="Times New Roman" w:hAnsi="Times New Roman" w:cs="Times New Roman"/>
          <w:sz w:val="24"/>
          <w:szCs w:val="24"/>
        </w:rPr>
      </w:pPr>
      <w:r w:rsidRPr="00406CCD">
        <w:rPr>
          <w:rFonts w:ascii="Times New Roman" w:hAnsi="Times New Roman" w:cs="Times New Roman"/>
          <w:sz w:val="24"/>
          <w:szCs w:val="24"/>
        </w:rPr>
        <w:t>Course Code: LPI 406</w:t>
      </w:r>
    </w:p>
    <w:p w:rsidR="00406CCD" w:rsidRPr="00406CCD" w:rsidRDefault="00406CCD">
      <w:pPr>
        <w:rPr>
          <w:rFonts w:ascii="Times New Roman" w:hAnsi="Times New Roman" w:cs="Times New Roman"/>
          <w:sz w:val="24"/>
          <w:szCs w:val="24"/>
        </w:rPr>
      </w:pPr>
    </w:p>
    <w:p w:rsidR="00406CCD" w:rsidRPr="00406CCD" w:rsidRDefault="00406CCD">
      <w:pPr>
        <w:rPr>
          <w:rFonts w:ascii="Times New Roman" w:hAnsi="Times New Roman" w:cs="Times New Roman"/>
          <w:sz w:val="24"/>
          <w:szCs w:val="24"/>
        </w:rPr>
      </w:pPr>
    </w:p>
    <w:p w:rsidR="00406CCD" w:rsidRPr="00406CCD" w:rsidRDefault="00406CCD">
      <w:pPr>
        <w:rPr>
          <w:rFonts w:ascii="Times New Roman" w:hAnsi="Times New Roman" w:cs="Times New Roman"/>
          <w:sz w:val="24"/>
          <w:szCs w:val="24"/>
        </w:rPr>
      </w:pPr>
      <w:r w:rsidRPr="00406CCD">
        <w:rPr>
          <w:rFonts w:ascii="Times New Roman" w:hAnsi="Times New Roman" w:cs="Times New Roman"/>
          <w:sz w:val="24"/>
          <w:szCs w:val="24"/>
        </w:rPr>
        <w:t>Questions</w:t>
      </w:r>
    </w:p>
    <w:p w:rsidR="00693D2B" w:rsidRPr="00406CCD" w:rsidRDefault="00617740" w:rsidP="00406CCD">
      <w:pPr>
        <w:pStyle w:val="ListParagraph"/>
        <w:numPr>
          <w:ilvl w:val="0"/>
          <w:numId w:val="2"/>
        </w:numPr>
        <w:rPr>
          <w:rFonts w:ascii="Times New Roman" w:hAnsi="Times New Roman" w:cs="Times New Roman"/>
          <w:sz w:val="24"/>
          <w:szCs w:val="24"/>
        </w:rPr>
      </w:pPr>
      <w:r w:rsidRPr="00406CCD">
        <w:rPr>
          <w:rFonts w:ascii="Times New Roman" w:hAnsi="Times New Roman" w:cs="Times New Roman"/>
          <w:sz w:val="24"/>
          <w:szCs w:val="24"/>
        </w:rPr>
        <w:t>Explain the term "limping marriage". Identify the ways, at common law, by which the incidence of limping marriage have been reduced.</w:t>
      </w:r>
    </w:p>
    <w:p w:rsidR="00406CCD" w:rsidRPr="00406CCD" w:rsidRDefault="00406CCD" w:rsidP="00406CCD">
      <w:pPr>
        <w:pStyle w:val="ListParagraph"/>
        <w:numPr>
          <w:ilvl w:val="0"/>
          <w:numId w:val="2"/>
        </w:numPr>
        <w:rPr>
          <w:rFonts w:ascii="Times New Roman" w:hAnsi="Times New Roman" w:cs="Times New Roman"/>
          <w:sz w:val="24"/>
          <w:szCs w:val="24"/>
        </w:rPr>
      </w:pPr>
      <w:r w:rsidRPr="00406CCD">
        <w:rPr>
          <w:rFonts w:ascii="Times New Roman" w:hAnsi="Times New Roman" w:cs="Times New Roman"/>
          <w:sz w:val="24"/>
          <w:szCs w:val="24"/>
        </w:rPr>
        <w:t xml:space="preserve">Explain </w:t>
      </w:r>
      <w:proofErr w:type="spellStart"/>
      <w:r w:rsidRPr="00406CCD">
        <w:rPr>
          <w:rFonts w:ascii="Times New Roman" w:hAnsi="Times New Roman" w:cs="Times New Roman"/>
          <w:sz w:val="24"/>
          <w:szCs w:val="24"/>
        </w:rPr>
        <w:t>succintly</w:t>
      </w:r>
      <w:proofErr w:type="spellEnd"/>
      <w:r w:rsidRPr="00406CCD">
        <w:rPr>
          <w:rFonts w:ascii="Times New Roman" w:hAnsi="Times New Roman" w:cs="Times New Roman"/>
          <w:sz w:val="24"/>
          <w:szCs w:val="24"/>
        </w:rPr>
        <w:t>, Mutation or Conversion of Marriage in Conflict of Laws.</w:t>
      </w:r>
    </w:p>
    <w:p w:rsidR="00406CCD" w:rsidRPr="00406CCD" w:rsidRDefault="00406CCD" w:rsidP="00406CCD">
      <w:pPr>
        <w:pStyle w:val="ListParagraph"/>
        <w:rPr>
          <w:rFonts w:ascii="Times New Roman" w:hAnsi="Times New Roman" w:cs="Times New Roman"/>
          <w:sz w:val="24"/>
          <w:szCs w:val="24"/>
        </w:rPr>
      </w:pPr>
    </w:p>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p w:rsidR="00406CCD" w:rsidRDefault="00406CCD" w:rsidP="00406CCD">
      <w:pPr>
        <w:tabs>
          <w:tab w:val="left" w:pos="1800"/>
        </w:tabs>
        <w:jc w:val="both"/>
      </w:pPr>
    </w:p>
    <w:p w:rsidR="00406CCD" w:rsidRPr="00406CCD" w:rsidRDefault="00406CCD" w:rsidP="00406CCD">
      <w:pPr>
        <w:tabs>
          <w:tab w:val="left" w:pos="1800"/>
        </w:tabs>
        <w:jc w:val="both"/>
        <w:rPr>
          <w:rFonts w:ascii="Times New Roman" w:hAnsi="Times New Roman" w:cs="Times New Roman"/>
          <w:sz w:val="24"/>
          <w:szCs w:val="24"/>
        </w:rPr>
      </w:pPr>
      <w:r w:rsidRPr="00406CCD">
        <w:rPr>
          <w:rFonts w:ascii="Times New Roman" w:hAnsi="Times New Roman" w:cs="Times New Roman"/>
          <w:sz w:val="24"/>
          <w:szCs w:val="24"/>
        </w:rPr>
        <w:t>QUESTION 1</w:t>
      </w:r>
      <w:r w:rsidRPr="00406CCD">
        <w:rPr>
          <w:rFonts w:ascii="Times New Roman" w:hAnsi="Times New Roman" w:cs="Times New Roman"/>
          <w:sz w:val="24"/>
          <w:szCs w:val="24"/>
        </w:rPr>
        <w:tab/>
      </w:r>
    </w:p>
    <w:p w:rsidR="00693D2B" w:rsidRPr="00406CCD" w:rsidRDefault="00693D2B" w:rsidP="00406CCD">
      <w:pPr>
        <w:jc w:val="both"/>
        <w:rPr>
          <w:rFonts w:ascii="Times New Roman" w:hAnsi="Times New Roman" w:cs="Times New Roman"/>
          <w:sz w:val="24"/>
          <w:szCs w:val="24"/>
        </w:rPr>
      </w:pPr>
      <w:r w:rsidRPr="00406CCD">
        <w:rPr>
          <w:rFonts w:ascii="Times New Roman" w:hAnsi="Times New Roman" w:cs="Times New Roman"/>
          <w:sz w:val="24"/>
          <w:szCs w:val="24"/>
        </w:rPr>
        <w:t>Limping marriages refers to the marital status of people considered as married under the law of one state or country while under the law of another state such marriage is unrecognized, considered inexistent and not binding.</w:t>
      </w:r>
      <w:r w:rsidR="000A1675" w:rsidRPr="00406CCD">
        <w:rPr>
          <w:rFonts w:ascii="Times New Roman" w:hAnsi="Times New Roman" w:cs="Times New Roman"/>
          <w:sz w:val="24"/>
          <w:szCs w:val="24"/>
        </w:rPr>
        <w:t xml:space="preserve"> The situation created by such failure to recognize the decree granted by the co</w:t>
      </w:r>
      <w:r w:rsidR="00D90F5A" w:rsidRPr="00406CCD">
        <w:rPr>
          <w:rFonts w:ascii="Times New Roman" w:hAnsi="Times New Roman" w:cs="Times New Roman"/>
          <w:sz w:val="24"/>
          <w:szCs w:val="24"/>
        </w:rPr>
        <w:t xml:space="preserve">urts of other countries is what is </w:t>
      </w:r>
      <w:proofErr w:type="spellStart"/>
      <w:r w:rsidR="00D90F5A" w:rsidRPr="00406CCD">
        <w:rPr>
          <w:rFonts w:ascii="Times New Roman" w:hAnsi="Times New Roman" w:cs="Times New Roman"/>
          <w:sz w:val="24"/>
          <w:szCs w:val="24"/>
        </w:rPr>
        <w:t>reffered</w:t>
      </w:r>
      <w:proofErr w:type="spellEnd"/>
      <w:r w:rsidR="00D90F5A" w:rsidRPr="00406CCD">
        <w:rPr>
          <w:rFonts w:ascii="Times New Roman" w:hAnsi="Times New Roman" w:cs="Times New Roman"/>
          <w:sz w:val="24"/>
          <w:szCs w:val="24"/>
        </w:rPr>
        <w:t xml:space="preserve"> to as “limping marriages” this is because in one country (where the decree was granted) the couple is no longer married, but in another country whose courts do not recognize the foreign decree of dissolution, the couple is still married and any attempt for any of the parties to contract another marriage i</w:t>
      </w:r>
      <w:r w:rsidR="00985C48" w:rsidRPr="00406CCD">
        <w:rPr>
          <w:rFonts w:ascii="Times New Roman" w:hAnsi="Times New Roman" w:cs="Times New Roman"/>
          <w:sz w:val="24"/>
          <w:szCs w:val="24"/>
        </w:rPr>
        <w:t>n that country would be invalid and void</w:t>
      </w:r>
      <w:r w:rsidR="00D90F5A" w:rsidRPr="00406CCD">
        <w:rPr>
          <w:rFonts w:ascii="Times New Roman" w:hAnsi="Times New Roman" w:cs="Times New Roman"/>
          <w:sz w:val="24"/>
          <w:szCs w:val="24"/>
        </w:rPr>
        <w:t>.</w:t>
      </w:r>
    </w:p>
    <w:p w:rsidR="00617740" w:rsidRPr="00406CCD" w:rsidRDefault="00693D2B" w:rsidP="00406CCD">
      <w:pPr>
        <w:jc w:val="both"/>
        <w:rPr>
          <w:rFonts w:ascii="Times New Roman" w:hAnsi="Times New Roman" w:cs="Times New Roman"/>
          <w:sz w:val="24"/>
          <w:szCs w:val="24"/>
        </w:rPr>
      </w:pPr>
      <w:r w:rsidRPr="00406CCD">
        <w:rPr>
          <w:rFonts w:ascii="Times New Roman" w:hAnsi="Times New Roman" w:cs="Times New Roman"/>
          <w:sz w:val="24"/>
          <w:szCs w:val="24"/>
        </w:rPr>
        <w:t xml:space="preserve">In </w:t>
      </w:r>
      <w:proofErr w:type="spellStart"/>
      <w:r w:rsidRPr="00406CCD">
        <w:rPr>
          <w:rFonts w:ascii="Times New Roman" w:hAnsi="Times New Roman" w:cs="Times New Roman"/>
          <w:sz w:val="24"/>
          <w:szCs w:val="24"/>
        </w:rPr>
        <w:t>Padolechia</w:t>
      </w:r>
      <w:proofErr w:type="spellEnd"/>
      <w:r w:rsidRPr="00406CCD">
        <w:rPr>
          <w:rFonts w:ascii="Times New Roman" w:hAnsi="Times New Roman" w:cs="Times New Roman"/>
          <w:sz w:val="24"/>
          <w:szCs w:val="24"/>
        </w:rPr>
        <w:t xml:space="preserve"> v </w:t>
      </w:r>
      <w:proofErr w:type="spellStart"/>
      <w:r w:rsidRPr="00406CCD">
        <w:rPr>
          <w:rFonts w:ascii="Times New Roman" w:hAnsi="Times New Roman" w:cs="Times New Roman"/>
          <w:sz w:val="24"/>
          <w:szCs w:val="24"/>
        </w:rPr>
        <w:t>Padolechia</w:t>
      </w:r>
      <w:proofErr w:type="spellEnd"/>
      <w:r w:rsidRPr="00406CCD">
        <w:rPr>
          <w:rFonts w:ascii="Times New Roman" w:hAnsi="Times New Roman" w:cs="Times New Roman"/>
          <w:sz w:val="24"/>
          <w:szCs w:val="24"/>
        </w:rPr>
        <w:t>, the husband was domiciled in and married in Italy in 1943 but subsequently obtained a divorce in Mexico and contracted another marriage in England. In a petition to annul the marriage on the ground that the first marriage was valid and subsisting, the court upheld the submission. In situations where it will be unjust and inappropriate for the decree to be binding extra territorially, a limping marriage will be created.</w:t>
      </w:r>
    </w:p>
    <w:p w:rsidR="000A1675" w:rsidRPr="00406CCD" w:rsidRDefault="00617740" w:rsidP="00406CCD">
      <w:pPr>
        <w:jc w:val="both"/>
        <w:rPr>
          <w:rFonts w:ascii="Times New Roman" w:hAnsi="Times New Roman" w:cs="Times New Roman"/>
          <w:sz w:val="24"/>
          <w:szCs w:val="24"/>
        </w:rPr>
      </w:pPr>
      <w:r w:rsidRPr="00406CCD">
        <w:rPr>
          <w:rFonts w:ascii="Times New Roman" w:hAnsi="Times New Roman" w:cs="Times New Roman"/>
          <w:sz w:val="24"/>
          <w:szCs w:val="24"/>
        </w:rPr>
        <w:t xml:space="preserve">In order to reduce the incidence of Limping marriages, the House of Lords in the case of </w:t>
      </w:r>
      <w:proofErr w:type="spellStart"/>
      <w:r w:rsidRPr="00406CCD">
        <w:rPr>
          <w:rFonts w:ascii="Times New Roman" w:hAnsi="Times New Roman" w:cs="Times New Roman"/>
          <w:sz w:val="24"/>
          <w:szCs w:val="24"/>
        </w:rPr>
        <w:t>Indyka</w:t>
      </w:r>
      <w:proofErr w:type="spellEnd"/>
      <w:r w:rsidRPr="00406CCD">
        <w:rPr>
          <w:rFonts w:ascii="Times New Roman" w:hAnsi="Times New Roman" w:cs="Times New Roman"/>
          <w:sz w:val="24"/>
          <w:szCs w:val="24"/>
        </w:rPr>
        <w:t xml:space="preserve"> v. </w:t>
      </w:r>
      <w:proofErr w:type="spellStart"/>
      <w:r w:rsidRPr="00406CCD">
        <w:rPr>
          <w:rFonts w:ascii="Times New Roman" w:hAnsi="Times New Roman" w:cs="Times New Roman"/>
          <w:sz w:val="24"/>
          <w:szCs w:val="24"/>
        </w:rPr>
        <w:t>Indyka</w:t>
      </w:r>
      <w:proofErr w:type="spellEnd"/>
      <w:r w:rsidRPr="00406CCD">
        <w:rPr>
          <w:rFonts w:ascii="Times New Roman" w:hAnsi="Times New Roman" w:cs="Times New Roman"/>
          <w:sz w:val="24"/>
          <w:szCs w:val="24"/>
        </w:rPr>
        <w:t xml:space="preserve"> came up with the test of “real and substantial connection.” Thus, for a foreign decree to be </w:t>
      </w:r>
      <w:proofErr w:type="gramStart"/>
      <w:r w:rsidRPr="00406CCD">
        <w:rPr>
          <w:rFonts w:ascii="Times New Roman" w:hAnsi="Times New Roman" w:cs="Times New Roman"/>
          <w:sz w:val="24"/>
          <w:szCs w:val="24"/>
        </w:rPr>
        <w:t>recognized,</w:t>
      </w:r>
      <w:proofErr w:type="gramEnd"/>
      <w:r w:rsidRPr="00406CCD">
        <w:rPr>
          <w:rFonts w:ascii="Times New Roman" w:hAnsi="Times New Roman" w:cs="Times New Roman"/>
          <w:sz w:val="24"/>
          <w:szCs w:val="24"/>
        </w:rPr>
        <w:t xml:space="preserve"> the parties were only required to show a “real and substantial connection”</w:t>
      </w:r>
      <w:r w:rsidR="00406CCD" w:rsidRPr="00406CCD">
        <w:rPr>
          <w:rFonts w:ascii="Times New Roman" w:hAnsi="Times New Roman" w:cs="Times New Roman"/>
          <w:sz w:val="24"/>
          <w:szCs w:val="24"/>
        </w:rPr>
        <w:t xml:space="preserve"> with the foreign country in question and the strict rules on domicile were relaxed. Alternatively, t</w:t>
      </w:r>
      <w:r w:rsidR="00985C48" w:rsidRPr="00406CCD">
        <w:rPr>
          <w:rFonts w:ascii="Times New Roman" w:hAnsi="Times New Roman" w:cs="Times New Roman"/>
          <w:sz w:val="24"/>
          <w:szCs w:val="24"/>
        </w:rPr>
        <w:t xml:space="preserve">o curb or reduce the occurrence of Limping marriages, there should be a uniform principle of Private International Law </w:t>
      </w:r>
      <w:r w:rsidR="00406CCD" w:rsidRPr="00406CCD">
        <w:rPr>
          <w:rFonts w:ascii="Times New Roman" w:hAnsi="Times New Roman" w:cs="Times New Roman"/>
          <w:sz w:val="24"/>
          <w:szCs w:val="24"/>
        </w:rPr>
        <w:t xml:space="preserve">in relation to this particular area of law </w:t>
      </w:r>
      <w:r w:rsidR="00985C48" w:rsidRPr="00406CCD">
        <w:rPr>
          <w:rFonts w:ascii="Times New Roman" w:hAnsi="Times New Roman" w:cs="Times New Roman"/>
          <w:sz w:val="24"/>
          <w:szCs w:val="24"/>
        </w:rPr>
        <w:t>which is accepted throughout the world.</w:t>
      </w:r>
    </w:p>
    <w:p w:rsidR="00985C48" w:rsidRPr="00406CCD" w:rsidRDefault="00985C48" w:rsidP="00406CCD">
      <w:pPr>
        <w:jc w:val="both"/>
        <w:rPr>
          <w:rFonts w:ascii="Times New Roman" w:hAnsi="Times New Roman" w:cs="Times New Roman"/>
          <w:sz w:val="24"/>
          <w:szCs w:val="24"/>
        </w:rPr>
      </w:pPr>
    </w:p>
    <w:p w:rsidR="00985C48" w:rsidRPr="00406CCD" w:rsidRDefault="00985C48"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Pr="00406CCD" w:rsidRDefault="00406CCD" w:rsidP="00406CCD">
      <w:pPr>
        <w:jc w:val="both"/>
        <w:rPr>
          <w:rFonts w:ascii="Times New Roman" w:hAnsi="Times New Roman" w:cs="Times New Roman"/>
          <w:sz w:val="24"/>
          <w:szCs w:val="24"/>
        </w:rPr>
      </w:pPr>
      <w:r w:rsidRPr="00406CCD">
        <w:rPr>
          <w:rFonts w:ascii="Times New Roman" w:hAnsi="Times New Roman" w:cs="Times New Roman"/>
          <w:sz w:val="24"/>
          <w:szCs w:val="24"/>
        </w:rPr>
        <w:t>QUESTION 2</w:t>
      </w:r>
    </w:p>
    <w:p w:rsidR="00F57419" w:rsidRPr="00406CCD" w:rsidRDefault="00F57419" w:rsidP="00406CCD">
      <w:pPr>
        <w:jc w:val="both"/>
        <w:rPr>
          <w:rFonts w:ascii="Times New Roman" w:hAnsi="Times New Roman" w:cs="Times New Roman"/>
          <w:sz w:val="24"/>
          <w:szCs w:val="24"/>
        </w:rPr>
      </w:pPr>
      <w:r w:rsidRPr="00406CCD">
        <w:rPr>
          <w:rFonts w:ascii="Times New Roman" w:hAnsi="Times New Roman" w:cs="Times New Roman"/>
          <w:sz w:val="24"/>
          <w:szCs w:val="24"/>
        </w:rPr>
        <w:t>A polygamous marriage can be converted to a monogamous marriage by severing relations with all but one of the partners while a monogamous marriage can be converted to a polygamous relation by the man marrying more than one wife.</w:t>
      </w:r>
    </w:p>
    <w:p w:rsidR="008D1B54" w:rsidRPr="00406CCD" w:rsidRDefault="008D1B54" w:rsidP="00406CCD">
      <w:pPr>
        <w:jc w:val="both"/>
        <w:rPr>
          <w:rFonts w:ascii="Times New Roman" w:hAnsi="Times New Roman" w:cs="Times New Roman"/>
          <w:sz w:val="24"/>
          <w:szCs w:val="24"/>
        </w:rPr>
      </w:pPr>
      <w:r w:rsidRPr="00406CCD">
        <w:rPr>
          <w:rFonts w:ascii="Times New Roman" w:hAnsi="Times New Roman" w:cs="Times New Roman"/>
          <w:sz w:val="24"/>
          <w:szCs w:val="24"/>
        </w:rPr>
        <w:t>Since 1939, the English courts have adopted the principal of "mutation" as a general rule. Under that rule, the courts have begun to recognize the possibility that under certain conditions, a marriage which is potentially polygamous at its inception could be converted or mutated into one which is monogamous.</w:t>
      </w:r>
    </w:p>
    <w:p w:rsidR="008D1B54" w:rsidRPr="00406CCD" w:rsidRDefault="008D1B54" w:rsidP="00406CCD">
      <w:pPr>
        <w:jc w:val="both"/>
        <w:rPr>
          <w:rFonts w:ascii="Times New Roman" w:hAnsi="Times New Roman" w:cs="Times New Roman"/>
          <w:sz w:val="24"/>
          <w:szCs w:val="24"/>
        </w:rPr>
      </w:pPr>
      <w:r w:rsidRPr="00406CCD">
        <w:rPr>
          <w:rFonts w:ascii="Times New Roman" w:hAnsi="Times New Roman" w:cs="Times New Roman"/>
          <w:sz w:val="24"/>
          <w:szCs w:val="24"/>
        </w:rPr>
        <w:t xml:space="preserve">In many decisions following Hyde v. Hyde, the courts have often expressed regret that an innocent but victimized party had to be denied relief only because the character of the marriage in question was polygamous. However, commencing with an opinion tendered by Lord Maugham to the Committee of Privileges in the </w:t>
      </w:r>
      <w:proofErr w:type="spellStart"/>
      <w:r w:rsidRPr="00406CCD">
        <w:rPr>
          <w:rFonts w:ascii="Times New Roman" w:hAnsi="Times New Roman" w:cs="Times New Roman"/>
          <w:sz w:val="24"/>
          <w:szCs w:val="24"/>
        </w:rPr>
        <w:t>Sinha</w:t>
      </w:r>
      <w:proofErr w:type="spellEnd"/>
      <w:r w:rsidRPr="00406CCD">
        <w:rPr>
          <w:rFonts w:ascii="Times New Roman" w:hAnsi="Times New Roman" w:cs="Times New Roman"/>
          <w:sz w:val="24"/>
          <w:szCs w:val="24"/>
        </w:rPr>
        <w:t xml:space="preserve"> Peerage case, decisions developed around the principle that notwithstanding the fact that a marriage may be potentially polygamous at its inception, it could subsequently become converted or mutated into a monogamous marriage for the purpose of attracting the matrimonial relief available under the English common law.</w:t>
      </w:r>
    </w:p>
    <w:p w:rsidR="00276E0D" w:rsidRPr="00406CCD" w:rsidRDefault="00276E0D" w:rsidP="00406CCD">
      <w:pPr>
        <w:jc w:val="both"/>
        <w:rPr>
          <w:rFonts w:ascii="Times New Roman" w:hAnsi="Times New Roman" w:cs="Times New Roman"/>
          <w:sz w:val="24"/>
          <w:szCs w:val="24"/>
        </w:rPr>
      </w:pPr>
      <w:r w:rsidRPr="00406CCD">
        <w:rPr>
          <w:rFonts w:ascii="Times New Roman" w:hAnsi="Times New Roman" w:cs="Times New Roman"/>
          <w:sz w:val="24"/>
          <w:szCs w:val="24"/>
        </w:rPr>
        <w:t>There is judicial authority to support the view that the acquisition of a new domicile and thereby a new personal law which exclusively recognizes monogamy, is one of the means available for conversion; a change of one's personal law changes the character of one's matrimonial status from polygamous to monogamous. In Sara v. Sara, the Court decided that a potentially polygamous marriage contracted in India had been converted into a monogamous union because the parties had acquired a new domicile of choice in British Columbia. Such conversion was considered sufficient to attract the matrimonial relief available under the common law. The validity of polygamous marriage as a form of marriage is dependent on the law of the place of celebration of the marriage.</w:t>
      </w: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406CCD" w:rsidRDefault="00406CCD" w:rsidP="00406CCD">
      <w:pPr>
        <w:jc w:val="both"/>
        <w:rPr>
          <w:rFonts w:ascii="Times New Roman" w:hAnsi="Times New Roman" w:cs="Times New Roman"/>
          <w:sz w:val="24"/>
          <w:szCs w:val="24"/>
        </w:rPr>
      </w:pPr>
    </w:p>
    <w:p w:rsidR="006D1835" w:rsidRPr="00406CCD" w:rsidRDefault="006D1835" w:rsidP="00406CCD">
      <w:pPr>
        <w:jc w:val="both"/>
        <w:rPr>
          <w:rFonts w:ascii="Times New Roman" w:hAnsi="Times New Roman" w:cs="Times New Roman"/>
          <w:sz w:val="24"/>
          <w:szCs w:val="24"/>
        </w:rPr>
      </w:pPr>
      <w:r w:rsidRPr="00406CCD">
        <w:rPr>
          <w:rFonts w:ascii="Times New Roman" w:hAnsi="Times New Roman" w:cs="Times New Roman"/>
          <w:sz w:val="24"/>
          <w:szCs w:val="24"/>
        </w:rPr>
        <w:t>References</w:t>
      </w:r>
    </w:p>
    <w:p w:rsidR="003E14FB" w:rsidRPr="00406CCD" w:rsidRDefault="002A7253" w:rsidP="00406CCD">
      <w:pPr>
        <w:pStyle w:val="ListParagraph"/>
        <w:numPr>
          <w:ilvl w:val="0"/>
          <w:numId w:val="1"/>
        </w:numPr>
        <w:jc w:val="both"/>
        <w:rPr>
          <w:rFonts w:ascii="Times New Roman" w:hAnsi="Times New Roman" w:cs="Times New Roman"/>
          <w:sz w:val="24"/>
          <w:szCs w:val="24"/>
        </w:rPr>
      </w:pPr>
      <w:r w:rsidRPr="00406CCD">
        <w:rPr>
          <w:rFonts w:ascii="Times New Roman" w:hAnsi="Times New Roman" w:cs="Times New Roman"/>
          <w:sz w:val="24"/>
          <w:szCs w:val="24"/>
        </w:rPr>
        <w:t xml:space="preserve">Dr. Violet O. </w:t>
      </w:r>
      <w:r w:rsidR="003E14FB" w:rsidRPr="00406CCD">
        <w:rPr>
          <w:rFonts w:ascii="Times New Roman" w:hAnsi="Times New Roman" w:cs="Times New Roman"/>
          <w:sz w:val="24"/>
          <w:szCs w:val="24"/>
        </w:rPr>
        <w:t>Aigbokhaevbo “</w:t>
      </w:r>
      <w:r w:rsidRPr="00406CCD">
        <w:rPr>
          <w:rFonts w:ascii="Times New Roman" w:hAnsi="Times New Roman" w:cs="Times New Roman"/>
          <w:sz w:val="24"/>
          <w:szCs w:val="24"/>
        </w:rPr>
        <w:t>Conflict of Laws Course guide</w:t>
      </w:r>
      <w:r w:rsidR="00610490" w:rsidRPr="00406CCD">
        <w:rPr>
          <w:rFonts w:ascii="Times New Roman" w:hAnsi="Times New Roman" w:cs="Times New Roman"/>
          <w:sz w:val="24"/>
          <w:szCs w:val="24"/>
        </w:rPr>
        <w:t>”</w:t>
      </w:r>
      <w:r w:rsidR="003E14FB" w:rsidRPr="00406CCD">
        <w:rPr>
          <w:rFonts w:ascii="Times New Roman" w:hAnsi="Times New Roman" w:cs="Times New Roman"/>
          <w:sz w:val="24"/>
          <w:szCs w:val="24"/>
        </w:rPr>
        <w:t xml:space="preserve">, </w:t>
      </w:r>
      <w:r w:rsidR="003E14FB" w:rsidRPr="00406CCD">
        <w:rPr>
          <w:rFonts w:ascii="Times New Roman" w:hAnsi="Times New Roman" w:cs="Times New Roman"/>
          <w:i/>
          <w:sz w:val="24"/>
          <w:szCs w:val="24"/>
        </w:rPr>
        <w:t>JIL 514 CONFLICT OF LAWS II</w:t>
      </w:r>
      <w:r w:rsidR="003E14FB" w:rsidRPr="00406CCD">
        <w:rPr>
          <w:rFonts w:ascii="Times New Roman" w:hAnsi="Times New Roman" w:cs="Times New Roman"/>
          <w:sz w:val="24"/>
          <w:szCs w:val="24"/>
        </w:rPr>
        <w:t xml:space="preserve">, </w:t>
      </w:r>
      <w:r w:rsidR="00610490" w:rsidRPr="00406CCD">
        <w:rPr>
          <w:rFonts w:ascii="Times New Roman" w:hAnsi="Times New Roman" w:cs="Times New Roman"/>
          <w:sz w:val="24"/>
          <w:szCs w:val="24"/>
        </w:rPr>
        <w:t>National</w:t>
      </w:r>
      <w:r w:rsidRPr="00406CCD">
        <w:rPr>
          <w:rFonts w:ascii="Times New Roman" w:hAnsi="Times New Roman" w:cs="Times New Roman"/>
          <w:sz w:val="24"/>
          <w:szCs w:val="24"/>
        </w:rPr>
        <w:t xml:space="preserve"> Open University of Nigeria</w:t>
      </w:r>
      <w:r w:rsidR="00610490" w:rsidRPr="00406CCD">
        <w:rPr>
          <w:rFonts w:ascii="Times New Roman" w:hAnsi="Times New Roman" w:cs="Times New Roman"/>
          <w:sz w:val="24"/>
          <w:szCs w:val="24"/>
        </w:rPr>
        <w:t xml:space="preserve"> Press</w:t>
      </w:r>
      <w:r w:rsidR="003E14FB" w:rsidRPr="00406CCD">
        <w:rPr>
          <w:rFonts w:ascii="Times New Roman" w:hAnsi="Times New Roman" w:cs="Times New Roman"/>
          <w:sz w:val="24"/>
          <w:szCs w:val="24"/>
        </w:rPr>
        <w:t xml:space="preserve"> </w:t>
      </w:r>
      <w:r w:rsidR="00610490" w:rsidRPr="00406CCD">
        <w:rPr>
          <w:rFonts w:ascii="Times New Roman" w:hAnsi="Times New Roman" w:cs="Times New Roman"/>
          <w:sz w:val="24"/>
          <w:szCs w:val="24"/>
        </w:rPr>
        <w:t>2018, Accessed May 2</w:t>
      </w:r>
      <w:r w:rsidR="00610490" w:rsidRPr="00406CCD">
        <w:rPr>
          <w:rFonts w:ascii="Times New Roman" w:hAnsi="Times New Roman" w:cs="Times New Roman"/>
          <w:sz w:val="24"/>
          <w:szCs w:val="24"/>
          <w:vertAlign w:val="superscript"/>
        </w:rPr>
        <w:t>nd</w:t>
      </w:r>
      <w:r w:rsidR="00610490" w:rsidRPr="00406CCD">
        <w:rPr>
          <w:rFonts w:ascii="Times New Roman" w:hAnsi="Times New Roman" w:cs="Times New Roman"/>
          <w:sz w:val="24"/>
          <w:szCs w:val="24"/>
        </w:rPr>
        <w:t>, 2020.</w:t>
      </w:r>
    </w:p>
    <w:p w:rsidR="003E14FB" w:rsidRPr="00406CCD" w:rsidRDefault="00610490" w:rsidP="00406CCD">
      <w:pPr>
        <w:pStyle w:val="ListParagraph"/>
        <w:numPr>
          <w:ilvl w:val="0"/>
          <w:numId w:val="1"/>
        </w:numPr>
        <w:jc w:val="both"/>
        <w:rPr>
          <w:rFonts w:ascii="Times New Roman" w:hAnsi="Times New Roman" w:cs="Times New Roman"/>
          <w:sz w:val="24"/>
          <w:szCs w:val="24"/>
        </w:rPr>
      </w:pPr>
      <w:r w:rsidRPr="00406CCD">
        <w:rPr>
          <w:rFonts w:ascii="Times New Roman" w:hAnsi="Times New Roman" w:cs="Times New Roman"/>
          <w:sz w:val="24"/>
          <w:szCs w:val="24"/>
        </w:rPr>
        <w:t xml:space="preserve">M. L. </w:t>
      </w:r>
      <w:proofErr w:type="spellStart"/>
      <w:r w:rsidRPr="00406CCD">
        <w:rPr>
          <w:rFonts w:ascii="Times New Roman" w:hAnsi="Times New Roman" w:cs="Times New Roman"/>
          <w:sz w:val="24"/>
          <w:szCs w:val="24"/>
        </w:rPr>
        <w:t>Marasinghe</w:t>
      </w:r>
      <w:proofErr w:type="spellEnd"/>
      <w:r w:rsidRPr="00406CCD">
        <w:rPr>
          <w:rFonts w:ascii="Times New Roman" w:hAnsi="Times New Roman" w:cs="Times New Roman"/>
          <w:sz w:val="24"/>
          <w:szCs w:val="24"/>
        </w:rPr>
        <w:t xml:space="preserve"> “Polygamous Marriages and the Principle of Mutation in the Conflict of Laws”, </w:t>
      </w:r>
      <w:r w:rsidR="003E14FB" w:rsidRPr="00406CCD">
        <w:rPr>
          <w:rFonts w:ascii="Times New Roman" w:hAnsi="Times New Roman" w:cs="Times New Roman"/>
          <w:i/>
          <w:sz w:val="24"/>
          <w:szCs w:val="24"/>
        </w:rPr>
        <w:t>Polygamous Marriages</w:t>
      </w:r>
      <w:r w:rsidR="003E14FB" w:rsidRPr="00406CCD">
        <w:rPr>
          <w:rFonts w:ascii="Times New Roman" w:hAnsi="Times New Roman" w:cs="Times New Roman"/>
          <w:sz w:val="24"/>
          <w:szCs w:val="24"/>
        </w:rPr>
        <w:t xml:space="preserve">, McGill Law Journal </w:t>
      </w:r>
      <w:r w:rsidRPr="00406CCD">
        <w:rPr>
          <w:rFonts w:ascii="Times New Roman" w:hAnsi="Times New Roman" w:cs="Times New Roman"/>
          <w:sz w:val="24"/>
          <w:szCs w:val="24"/>
        </w:rPr>
        <w:t>Volume 4 19</w:t>
      </w:r>
      <w:r w:rsidR="003E14FB" w:rsidRPr="00406CCD">
        <w:rPr>
          <w:rFonts w:ascii="Times New Roman" w:hAnsi="Times New Roman" w:cs="Times New Roman"/>
          <w:sz w:val="24"/>
          <w:szCs w:val="24"/>
        </w:rPr>
        <w:t>78, Accessed May 2</w:t>
      </w:r>
      <w:r w:rsidR="003E14FB" w:rsidRPr="00406CCD">
        <w:rPr>
          <w:rFonts w:ascii="Times New Roman" w:hAnsi="Times New Roman" w:cs="Times New Roman"/>
          <w:sz w:val="24"/>
          <w:szCs w:val="24"/>
          <w:vertAlign w:val="superscript"/>
        </w:rPr>
        <w:t>nd</w:t>
      </w:r>
      <w:r w:rsidR="003E14FB" w:rsidRPr="00406CCD">
        <w:rPr>
          <w:rFonts w:ascii="Times New Roman" w:hAnsi="Times New Roman" w:cs="Times New Roman"/>
          <w:sz w:val="24"/>
          <w:szCs w:val="24"/>
        </w:rPr>
        <w:t>, 2020.</w:t>
      </w:r>
    </w:p>
    <w:p w:rsidR="003E14FB" w:rsidRPr="00406CCD" w:rsidRDefault="003E14FB" w:rsidP="00406CCD">
      <w:pPr>
        <w:pStyle w:val="ListParagraph"/>
        <w:numPr>
          <w:ilvl w:val="0"/>
          <w:numId w:val="1"/>
        </w:numPr>
        <w:jc w:val="both"/>
        <w:rPr>
          <w:rFonts w:ascii="Times New Roman" w:hAnsi="Times New Roman" w:cs="Times New Roman"/>
          <w:sz w:val="24"/>
          <w:szCs w:val="24"/>
        </w:rPr>
      </w:pPr>
      <w:proofErr w:type="spellStart"/>
      <w:r w:rsidRPr="00406CCD">
        <w:rPr>
          <w:rFonts w:ascii="Times New Roman" w:hAnsi="Times New Roman" w:cs="Times New Roman"/>
          <w:sz w:val="24"/>
          <w:szCs w:val="24"/>
        </w:rPr>
        <w:t>Omoruyi</w:t>
      </w:r>
      <w:proofErr w:type="spellEnd"/>
      <w:r w:rsidRPr="00406CCD">
        <w:rPr>
          <w:rFonts w:ascii="Times New Roman" w:hAnsi="Times New Roman" w:cs="Times New Roman"/>
          <w:sz w:val="24"/>
          <w:szCs w:val="24"/>
        </w:rPr>
        <w:t xml:space="preserve"> I. O. (2005). An Introduction to Private International Law: Nigerian Perspectives. Benin City: </w:t>
      </w:r>
      <w:proofErr w:type="spellStart"/>
      <w:r w:rsidRPr="00406CCD">
        <w:rPr>
          <w:rFonts w:ascii="Times New Roman" w:hAnsi="Times New Roman" w:cs="Times New Roman"/>
          <w:sz w:val="24"/>
          <w:szCs w:val="24"/>
        </w:rPr>
        <w:t>Ambik</w:t>
      </w:r>
      <w:proofErr w:type="spellEnd"/>
      <w:r w:rsidRPr="00406CCD">
        <w:rPr>
          <w:rFonts w:ascii="Times New Roman" w:hAnsi="Times New Roman" w:cs="Times New Roman"/>
          <w:sz w:val="24"/>
          <w:szCs w:val="24"/>
        </w:rPr>
        <w:t xml:space="preserve"> Press.</w:t>
      </w:r>
    </w:p>
    <w:sectPr w:rsidR="003E14FB" w:rsidRPr="00406CCD" w:rsidSect="00F9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37D3"/>
    <w:multiLevelType w:val="hybridMultilevel"/>
    <w:tmpl w:val="C4DC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C74B9"/>
    <w:multiLevelType w:val="hybridMultilevel"/>
    <w:tmpl w:val="68B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3D2B"/>
    <w:rsid w:val="000A1675"/>
    <w:rsid w:val="00276E0D"/>
    <w:rsid w:val="002A7253"/>
    <w:rsid w:val="003E14FB"/>
    <w:rsid w:val="00406CCD"/>
    <w:rsid w:val="00610490"/>
    <w:rsid w:val="00617740"/>
    <w:rsid w:val="00637253"/>
    <w:rsid w:val="00693D2B"/>
    <w:rsid w:val="006D1835"/>
    <w:rsid w:val="008D1B54"/>
    <w:rsid w:val="00985C48"/>
    <w:rsid w:val="00D90F5A"/>
    <w:rsid w:val="00F12BD6"/>
    <w:rsid w:val="00F57419"/>
    <w:rsid w:val="00F93568"/>
    <w:rsid w:val="00FF4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253"/>
    <w:rPr>
      <w:color w:val="0000FF" w:themeColor="hyperlink"/>
      <w:u w:val="single"/>
    </w:rPr>
  </w:style>
  <w:style w:type="paragraph" w:styleId="ListParagraph">
    <w:name w:val="List Paragraph"/>
    <w:basedOn w:val="Normal"/>
    <w:uiPriority w:val="34"/>
    <w:qFormat/>
    <w:rsid w:val="003E14FB"/>
    <w:pPr>
      <w:ind w:left="720"/>
      <w:contextualSpacing/>
    </w:pPr>
  </w:style>
</w:styles>
</file>

<file path=word/webSettings.xml><?xml version="1.0" encoding="utf-8"?>
<w:webSettings xmlns:r="http://schemas.openxmlformats.org/officeDocument/2006/relationships" xmlns:w="http://schemas.openxmlformats.org/wordprocessingml/2006/main">
  <w:divs>
    <w:div w:id="17682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2020-05-07T13:25:00Z</dcterms:created>
  <dcterms:modified xsi:type="dcterms:W3CDTF">2020-05-07T13:25:00Z</dcterms:modified>
</cp:coreProperties>
</file>